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rPr>
          <w:rFonts w:hint="eastAsia"/>
          <w:lang w:val="en-US" w:eastAsia="zh-CN"/>
        </w:rPr>
      </w:pPr>
    </w:p>
    <w:p>
      <w:pPr>
        <w:pStyle w:val="15"/>
        <w:ind w:left="0" w:leftChars="0" w:firstLine="0" w:firstLineChars="0"/>
        <w:jc w:val="both"/>
        <w:rPr>
          <w:rFonts w:hint="eastAsia" w:ascii="宋体" w:hAnsi="宋体"/>
          <w:b/>
          <w:bCs/>
          <w:color w:val="auto"/>
          <w:sz w:val="52"/>
          <w:szCs w:val="52"/>
        </w:rPr>
      </w:pPr>
    </w:p>
    <w:p>
      <w:pPr>
        <w:pStyle w:val="15"/>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w:t>
      </w:r>
      <w:r>
        <w:rPr>
          <w:rFonts w:hint="eastAsia" w:ascii="宋体" w:hAnsi="宋体"/>
          <w:b/>
          <w:bCs/>
          <w:color w:val="auto"/>
          <w:sz w:val="52"/>
          <w:szCs w:val="52"/>
          <w:lang w:eastAsia="zh-CN"/>
        </w:rPr>
        <w:t>服务</w:t>
      </w:r>
      <w:r>
        <w:rPr>
          <w:rFonts w:hint="eastAsia" w:ascii="宋体" w:hAnsi="宋体"/>
          <w:b/>
          <w:bCs/>
          <w:color w:val="auto"/>
          <w:sz w:val="52"/>
          <w:szCs w:val="52"/>
          <w:lang w:val="en-US" w:eastAsia="zh-CN"/>
        </w:rPr>
        <w:t>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霍山县水质及重点污染源监测项目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cs="宋体"/>
          <w:b/>
          <w:color w:val="auto"/>
          <w:spacing w:val="0"/>
          <w:kern w:val="0"/>
          <w:sz w:val="32"/>
          <w:szCs w:val="32"/>
          <w:lang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DBSCG-2020-062</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六安市霍山县生态环境分局</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二0</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七</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pStyle w:val="15"/>
        <w:rPr>
          <w:rFonts w:hint="eastAsia"/>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34"/>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34"/>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b/>
          <w:bCs/>
          <w:color w:val="auto"/>
          <w:kern w:val="0"/>
          <w:sz w:val="30"/>
          <w:szCs w:val="30"/>
          <w:lang w:val="en-US" w:eastAsia="zh-CN" w:bidi="ar-SA"/>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霍山县水质及重点污染源监测项目</w:t>
      </w:r>
    </w:p>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hint="eastAsia" w:ascii="宋体" w:hAnsi="宋体" w:cs="宋体"/>
          <w:b/>
          <w:bCs/>
          <w:color w:val="auto"/>
          <w:kern w:val="0"/>
          <w:sz w:val="30"/>
          <w:szCs w:val="30"/>
          <w:lang w:val="en-US" w:eastAsia="zh-CN" w:bidi="ar-SA"/>
        </w:rPr>
        <w:t>项目</w:t>
      </w:r>
      <w:r>
        <w:rPr>
          <w:rFonts w:hint="eastAsia" w:ascii="宋体" w:hAnsi="宋体" w:eastAsia="宋体" w:cs="宋体"/>
          <w:b/>
          <w:bCs/>
          <w:color w:val="auto"/>
          <w:kern w:val="0"/>
          <w:sz w:val="30"/>
          <w:szCs w:val="30"/>
          <w:lang w:val="en-US" w:eastAsia="zh-CN" w:bidi="ar-SA"/>
        </w:rPr>
        <w:t>询价公告</w:t>
      </w:r>
      <w:bookmarkEnd w:id="6"/>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霍山县水质及重点污染源监测项目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六安市霍山县生态环境分局申请，并经采购人批准</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六安市霍山县生态环境分局</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霍山县水质及重点污染源监测项目</w:t>
      </w:r>
      <w:r>
        <w:rPr>
          <w:rFonts w:hint="eastAsia" w:ascii="宋体" w:hAnsi="宋体" w:eastAsia="宋体" w:cs="宋体"/>
          <w:i w:val="0"/>
          <w:caps w:val="0"/>
          <w:color w:val="auto"/>
          <w:spacing w:val="0"/>
          <w:sz w:val="21"/>
          <w:szCs w:val="21"/>
          <w:shd w:val="clear" w:color="auto" w:fill="FFFFFF"/>
        </w:rPr>
        <w:t>进行询价</w:t>
      </w:r>
      <w:r>
        <w:rPr>
          <w:rFonts w:hint="eastAsia" w:ascii="宋体" w:hAnsi="宋体" w:cs="宋体"/>
          <w:i w:val="0"/>
          <w:caps w:val="0"/>
          <w:color w:val="auto"/>
          <w:spacing w:val="0"/>
          <w:sz w:val="21"/>
          <w:szCs w:val="21"/>
          <w:shd w:val="clear" w:color="auto" w:fill="FFFFFF"/>
          <w:lang w:val="en-US" w:eastAsia="zh-CN"/>
        </w:rPr>
        <w:t>方式</w:t>
      </w:r>
      <w:r>
        <w:rPr>
          <w:rFonts w:hint="eastAsia" w:ascii="宋体" w:hAnsi="宋体" w:eastAsia="宋体" w:cs="宋体"/>
          <w:i w:val="0"/>
          <w:caps w:val="0"/>
          <w:color w:val="auto"/>
          <w:spacing w:val="0"/>
          <w:sz w:val="21"/>
          <w:szCs w:val="21"/>
          <w:shd w:val="clear" w:color="auto" w:fill="FFFFFF"/>
        </w:rPr>
        <w:t>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霍山县水质及重点污染源监测项目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DBSCG-2020-062</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六安市霍山县生态环境分局</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项目资金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224000.00元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7、项目最高限价：224000.00元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eastAsia="zh-CN"/>
        </w:rPr>
        <w:t>服务期</w:t>
      </w:r>
      <w:r>
        <w:rPr>
          <w:rFonts w:hint="eastAsia" w:ascii="宋体" w:hAnsi="宋体"/>
          <w:color w:val="000000"/>
          <w:sz w:val="21"/>
          <w:szCs w:val="21"/>
        </w:rPr>
        <w:t>：</w:t>
      </w:r>
      <w:r>
        <w:rPr>
          <w:rFonts w:hint="eastAsia" w:ascii="宋体" w:hAnsi="宋体"/>
          <w:color w:val="000000"/>
          <w:sz w:val="21"/>
          <w:szCs w:val="21"/>
          <w:lang w:val="en-US" w:eastAsia="zh-CN"/>
        </w:rPr>
        <w:t>合同签订后，十五天完成。</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9、项目概况：(详见采购需求清单)。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1、参照《中华人民共和国政府采购法》第二十二条要求；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2、供应商应具有独立法人资格；</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3、如为代理商询价，则供应商应出具所投产品制造厂家售后服务承诺书；</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4、本项目不接受联合体参与投标；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5、供应商存在以下不良信用记录情形之一的，不得推荐为成交候选供应商，不得确定为成交供应商（仅以下述渠道查询结果为准，其他网站无效）：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7月7日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7月14日9时00分。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中自行下载本项目采购需求文件。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7</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14日9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六安市霍山县生态环境分局</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詹先生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13705645298</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w:t>
      </w:r>
      <w:r>
        <w:rPr>
          <w:rFonts w:hint="eastAsia" w:ascii="宋体" w:hAnsi="宋体" w:cs="宋体"/>
          <w:i w:val="0"/>
          <w:caps w:val="0"/>
          <w:color w:val="auto"/>
          <w:spacing w:val="0"/>
          <w:sz w:val="21"/>
          <w:szCs w:val="21"/>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20033，15305645303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伍仟</w:t>
      </w:r>
      <w:r>
        <w:rPr>
          <w:rFonts w:hint="eastAsia" w:ascii="宋体" w:hAnsi="宋体" w:cs="宋体"/>
          <w:i w:val="0"/>
          <w:caps w:val="0"/>
          <w:color w:val="auto"/>
          <w:spacing w:val="0"/>
          <w:sz w:val="21"/>
          <w:szCs w:val="21"/>
          <w:shd w:val="clear" w:color="auto" w:fill="FFFFFF"/>
          <w:lang w:val="zh-CN" w:eastAsia="zh-CN"/>
        </w:rPr>
        <w:t>元整（</w:t>
      </w:r>
      <w:r>
        <w:rPr>
          <w:rFonts w:hint="eastAsia" w:ascii="宋体" w:hAnsi="宋体" w:cs="宋体"/>
          <w:i w:val="0"/>
          <w:caps w:val="0"/>
          <w:color w:val="auto"/>
          <w:spacing w:val="0"/>
          <w:sz w:val="21"/>
          <w:szCs w:val="21"/>
          <w:shd w:val="clear" w:color="auto" w:fill="FFFFFF"/>
          <w:lang w:val="en-US" w:eastAsia="zh-CN"/>
        </w:rPr>
        <w:t>5000.00元</w:t>
      </w:r>
      <w:r>
        <w:rPr>
          <w:rFonts w:hint="eastAsia" w:ascii="宋体" w:hAnsi="宋体" w:cs="宋体"/>
          <w:i w:val="0"/>
          <w:caps w:val="0"/>
          <w:color w:val="auto"/>
          <w:spacing w:val="0"/>
          <w:sz w:val="21"/>
          <w:szCs w:val="21"/>
          <w:shd w:val="clear" w:color="auto" w:fill="FFFFFF"/>
          <w:lang w:val="zh-CN"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widowControl/>
        <w:shd w:val="clear" w:color="auto" w:fill="FFFFFF"/>
        <w:adjustRightInd w:val="0"/>
        <w:snapToGrid w:val="0"/>
        <w:spacing w:line="420" w:lineRule="exact"/>
        <w:ind w:firstLine="422" w:firstLineChars="200"/>
        <w:jc w:val="left"/>
        <w:rPr>
          <w:rFonts w:hint="eastAsia" w:ascii="宋体" w:hAnsi="宋体" w:cs="宋体"/>
          <w:b/>
          <w:bCs/>
          <w:color w:val="auto"/>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w:t>
      </w:r>
      <w:r>
        <w:rPr>
          <w:rFonts w:hint="eastAsia" w:ascii="宋体" w:hAnsi="宋体" w:cs="宋体"/>
          <w:b/>
          <w:bCs/>
          <w:color w:val="auto"/>
          <w:lang w:val="en-US" w:eastAsia="zh-CN"/>
        </w:rPr>
        <w:t>汇入账户名称应与供应商名称一致；保证金到达指定账户截止时间同开标时间；供应商必须在保证金银行汇单备注栏注明本项目编号。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六安市霍山县生态环境分局</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7月7日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六安市霍山县生态环境分局</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詹先生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13705645298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霍山县水质及重点污染源监测项目</w:t>
            </w:r>
            <w:bookmarkStart w:id="90" w:name="_GoBack"/>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DBSCG-2020-062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贰拾贰万肆仟</w:t>
            </w:r>
            <w:r>
              <w:rPr>
                <w:rFonts w:hint="eastAsia" w:cs="宋体"/>
                <w:b/>
                <w:bCs/>
                <w:color w:val="auto"/>
                <w:sz w:val="21"/>
                <w:szCs w:val="21"/>
                <w:highlight w:val="none"/>
                <w:u w:val="single"/>
                <w:lang w:eastAsia="zh-CN"/>
              </w:rPr>
              <w:t>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224000.00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b/>
                <w:bCs/>
                <w:sz w:val="24"/>
                <w:szCs w:val="24"/>
                <w:lang w:eastAsia="zh-CN"/>
              </w:rPr>
              <w:t>半年支付一次全款的50%</w:t>
            </w:r>
            <w:r>
              <w:rPr>
                <w:rFonts w:hint="eastAsia" w:ascii="宋体" w:hAnsi="宋体" w:cs="宋体"/>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服务</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服务期</w:t>
            </w:r>
            <w:r>
              <w:rPr>
                <w:rFonts w:hint="eastAsia" w:ascii="宋体" w:hAnsi="宋体" w:eastAsia="宋体" w:cs="宋体"/>
                <w:b w:val="0"/>
                <w:bCs w:val="0"/>
                <w:color w:val="auto"/>
                <w:szCs w:val="21"/>
                <w:highlight w:val="none"/>
              </w:rPr>
              <w:t>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合同签订后，十五天完成。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b/>
                <w:bCs/>
                <w:color w:val="auto"/>
                <w:sz w:val="24"/>
                <w:szCs w:val="24"/>
                <w:lang w:val="zh-CN"/>
              </w:rPr>
              <w:t>验收合格之日起</w:t>
            </w:r>
            <w:r>
              <w:rPr>
                <w:rFonts w:hint="eastAsia" w:ascii="宋体" w:hAnsi="宋体"/>
                <w:b/>
                <w:bCs/>
                <w:i w:val="0"/>
                <w:iCs w:val="0"/>
                <w:color w:val="auto"/>
                <w:sz w:val="24"/>
                <w:szCs w:val="24"/>
                <w:u w:val="none"/>
                <w:lang w:val="en-US" w:eastAsia="zh-CN"/>
              </w:rPr>
              <w:t>1</w:t>
            </w:r>
            <w:r>
              <w:rPr>
                <w:rFonts w:hint="eastAsia" w:ascii="宋体" w:hAnsi="宋体"/>
                <w:b/>
                <w:bCs/>
                <w:i w:val="0"/>
                <w:iCs w:val="0"/>
                <w:color w:val="auto"/>
                <w:sz w:val="24"/>
                <w:szCs w:val="24"/>
                <w:u w:val="none"/>
                <w:lang w:val="zh-CN"/>
              </w:rPr>
              <w:t>年</w:t>
            </w:r>
            <w:r>
              <w:rPr>
                <w:rFonts w:hint="eastAsia" w:ascii="宋体" w:hAnsi="宋体"/>
                <w:b/>
                <w:bCs/>
                <w:color w:val="auto"/>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20</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7</w:t>
            </w:r>
            <w:r>
              <w:rPr>
                <w:rFonts w:hint="eastAsia" w:ascii="宋体" w:hAnsi="宋体" w:cs="宋体"/>
                <w:b/>
                <w:color w:val="auto"/>
                <w:sz w:val="21"/>
                <w:szCs w:val="21"/>
                <w:highlight w:val="none"/>
                <w:u w:val="none"/>
                <w:lang w:val="en-US" w:eastAsia="zh-CN"/>
              </w:rPr>
              <w:t>月</w:t>
            </w:r>
            <w:r>
              <w:rPr>
                <w:rFonts w:hint="eastAsia" w:ascii="宋体" w:hAnsi="宋体" w:cs="宋体"/>
                <w:b/>
                <w:color w:val="auto"/>
                <w:sz w:val="21"/>
                <w:szCs w:val="21"/>
                <w:highlight w:val="none"/>
                <w:u w:val="single"/>
                <w:lang w:val="en-US" w:eastAsia="zh-CN"/>
              </w:rPr>
              <w:t>14日9</w:t>
            </w:r>
            <w:r>
              <w:rPr>
                <w:rFonts w:hint="eastAsia" w:ascii="宋体" w:hAnsi="宋体" w:cs="宋体"/>
                <w:b/>
                <w:color w:val="auto"/>
                <w:sz w:val="21"/>
                <w:szCs w:val="21"/>
                <w:highlight w:val="none"/>
                <w:u w:val="none"/>
                <w:lang w:val="en-US" w:eastAsia="zh-CN"/>
              </w:rPr>
              <w:t>时</w:t>
            </w:r>
            <w:r>
              <w:rPr>
                <w:rFonts w:hint="eastAsia" w:ascii="宋体" w:hAnsi="宋体" w:cs="宋体"/>
                <w:b/>
                <w:color w:val="auto"/>
                <w:sz w:val="21"/>
                <w:szCs w:val="21"/>
                <w:highlight w:val="none"/>
                <w:u w:val="single"/>
                <w:lang w:val="en-US" w:eastAsia="zh-CN"/>
              </w:rPr>
              <w:t>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供应商如果对采购文件存在误解或理解不清，可以按以下方式提出询问：提交：2020年</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日17时前提交电子版发至邮箱337269927@qq.com。逾期不予受理（不得署名）。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答复：2020年</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val="en-US" w:eastAsia="zh-CN"/>
              </w:rPr>
              <w:t>日17时前于</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word或wps,可编辑模式）发送至337269927@qq.com邮箱。质疑须在开标1天前提出，否则不予受理。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保证金凭其与采购人签订的合同全额退至其基本账户，其他单位的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单位后5个工作日内退至其基本</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438648662"/>
      <w:bookmarkStart w:id="14" w:name="_Toc216158625"/>
      <w:bookmarkStart w:id="15" w:name="_Toc363199266"/>
      <w:bookmarkStart w:id="16" w:name="_Toc12806"/>
      <w:r>
        <w:rPr>
          <w:rFonts w:hint="eastAsia"/>
          <w:color w:val="auto"/>
          <w:sz w:val="24"/>
          <w:szCs w:val="24"/>
          <w:lang w:eastAsia="zh-CN"/>
        </w:rPr>
        <w:t>详见询价公告</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eastAsia="zh-CN"/>
        </w:rPr>
        <w:t>服务</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六安市霍山县生态环境分局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000000" w:themeColor="text1"/>
          <w:spacing w:val="-6"/>
          <w:kern w:val="0"/>
          <w:szCs w:val="21"/>
          <w14:textFill>
            <w14:solidFill>
              <w14:schemeClr w14:val="tx1"/>
            </w14:solidFill>
          </w14:textFill>
        </w:rPr>
        <w:t>采购人将依法重新</w:t>
      </w:r>
      <w:r>
        <w:rPr>
          <w:rFonts w:hint="eastAsia" w:ascii="宋体" w:hAnsi="宋体" w:cs="宋体"/>
          <w:b/>
          <w:color w:val="000000" w:themeColor="text1"/>
          <w:spacing w:val="-6"/>
          <w:kern w:val="0"/>
          <w:szCs w:val="21"/>
          <w:lang w:val="en-US" w:eastAsia="zh-CN"/>
          <w14:textFill>
            <w14:solidFill>
              <w14:schemeClr w14:val="tx1"/>
            </w14:solidFill>
          </w14:textFill>
        </w:rPr>
        <w:t>询价</w:t>
      </w:r>
      <w:r>
        <w:rPr>
          <w:rFonts w:hint="eastAsia" w:ascii="宋体" w:hAnsi="宋体" w:cs="宋体"/>
          <w:b/>
          <w:color w:val="000000" w:themeColor="text1"/>
          <w:spacing w:val="-6"/>
          <w:kern w:val="0"/>
          <w:szCs w:val="21"/>
          <w14:textFill>
            <w14:solidFill>
              <w14:schemeClr w14:val="tx1"/>
            </w14:solidFill>
          </w14:textFill>
        </w:rPr>
        <w:t>或按霍政办[</w:t>
      </w:r>
      <w:r>
        <w:rPr>
          <w:rFonts w:hint="eastAsia" w:ascii="宋体" w:hAnsi="宋体" w:cs="宋体"/>
          <w:b/>
          <w:color w:val="000000" w:themeColor="text1"/>
          <w:spacing w:val="-6"/>
          <w:kern w:val="0"/>
          <w:szCs w:val="21"/>
          <w:lang w:eastAsia="zh-CN"/>
          <w14:textFill>
            <w14:solidFill>
              <w14:schemeClr w14:val="tx1"/>
            </w14:solidFill>
          </w14:textFill>
        </w:rPr>
        <w:t>201</w:t>
      </w:r>
      <w:r>
        <w:rPr>
          <w:rFonts w:hint="eastAsia" w:ascii="宋体" w:hAnsi="宋体" w:cs="宋体"/>
          <w:b/>
          <w:color w:val="000000" w:themeColor="text1"/>
          <w:spacing w:val="-6"/>
          <w:kern w:val="0"/>
          <w:szCs w:val="21"/>
          <w:lang w:val="en-US" w:eastAsia="zh-CN"/>
          <w14:textFill>
            <w14:solidFill>
              <w14:schemeClr w14:val="tx1"/>
            </w14:solidFill>
          </w14:textFill>
        </w:rPr>
        <w:t>6</w:t>
      </w:r>
      <w:r>
        <w:rPr>
          <w:rFonts w:hint="eastAsia" w:ascii="宋体" w:hAnsi="宋体" w:cs="宋体"/>
          <w:b/>
          <w:color w:val="000000" w:themeColor="text1"/>
          <w:spacing w:val="-6"/>
          <w:kern w:val="0"/>
          <w:szCs w:val="21"/>
          <w14:textFill>
            <w14:solidFill>
              <w14:schemeClr w14:val="tx1"/>
            </w14:solidFill>
          </w14:textFill>
        </w:rPr>
        <w:t>]27号文件执行。</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若无供应商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rPr>
        <w:t>根据《政府采购法》的相关规定均应是本国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eastAsia="zh-CN"/>
        </w:rPr>
        <w:t>服务</w:t>
      </w:r>
      <w:r>
        <w:rPr>
          <w:rFonts w:hint="eastAsia" w:ascii="宋体" w:hAnsi="宋体"/>
          <w:color w:val="auto"/>
          <w:sz w:val="21"/>
          <w:szCs w:val="21"/>
        </w:rPr>
        <w:t>必须是合法生产的符合国家有关要求的</w:t>
      </w:r>
      <w:r>
        <w:rPr>
          <w:rFonts w:hint="eastAsia" w:ascii="宋体" w:hAnsi="宋体"/>
          <w:color w:val="auto"/>
          <w:sz w:val="21"/>
          <w:szCs w:val="21"/>
          <w:lang w:eastAsia="zh-CN"/>
        </w:rPr>
        <w:t>服务</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eastAsia="zh-CN"/>
        </w:rPr>
        <w:t>服务</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eastAsia="zh-CN"/>
        </w:rPr>
        <w:t>服务</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eastAsia="zh-CN"/>
        </w:rPr>
        <w:t>服务</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六安市霍山县生态环境分局</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六安市霍山县生态环境分局</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7"/>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2757"/>
      <w:bookmarkStart w:id="35" w:name="_Toc16484_WPSOffice_Level1"/>
      <w:bookmarkStart w:id="36" w:name="_Toc363199273"/>
      <w:r>
        <w:rPr>
          <w:rFonts w:hint="eastAsia"/>
          <w:color w:val="auto"/>
          <w:sz w:val="28"/>
          <w:szCs w:val="28"/>
        </w:rPr>
        <w:t>采购合同（甲乙双方可自行拟定）</w:t>
      </w:r>
    </w:p>
    <w:p>
      <w:pPr>
        <w:pStyle w:val="15"/>
        <w:jc w:val="center"/>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1"/>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w:t>
      </w:r>
      <w:r>
        <w:rPr>
          <w:rFonts w:hint="eastAsia" w:ascii="宋体" w:hAnsi="宋体" w:cs="宋体"/>
          <w:b/>
          <w:bCs w:val="0"/>
          <w:sz w:val="36"/>
          <w:szCs w:val="36"/>
          <w:lang w:val="en-US" w:eastAsia="zh-CN"/>
        </w:rPr>
        <w:t>服务</w:t>
      </w:r>
      <w:r>
        <w:rPr>
          <w:rFonts w:hint="eastAsia" w:ascii="宋体" w:hAnsi="宋体" w:eastAsia="宋体" w:cs="宋体"/>
          <w:b/>
          <w:bCs w:val="0"/>
          <w:sz w:val="36"/>
          <w:szCs w:val="36"/>
          <w:lang w:eastAsia="zh-CN"/>
        </w:rPr>
        <w:t>需求</w:t>
      </w:r>
    </w:p>
    <w:p>
      <w:pPr>
        <w:spacing w:line="200" w:lineRule="exact"/>
        <w:rPr>
          <w:rFonts w:hint="eastAsia" w:ascii="宋体" w:hAnsi="宋体"/>
          <w:color w:val="000000"/>
          <w:sz w:val="28"/>
          <w:szCs w:val="28"/>
        </w:rPr>
      </w:pP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 xml:space="preserve">根据《安徽省生态环境厅关于印发2020年安徽省生态环境监测方案的通知（皖环函[2020]72号）、《六安市生态环境局关于印发2020年六安市生态环境监测实施方案的通知》六环[2020]20号要求，结合我县实际情况，我县需委托第三方环境检测公司对15个万人千吨饮用水源地水质（含乡镇集中式饮用水源地）、16个 20吨以上污水处理厂出水水质、 9个规下入河排污口水质开展监测；对 8家重点污染源企业和20家已发排污许可证企业开展监督监测。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 xml:space="preserve">具体要求如下：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一、 万人千吨饮用水源地水质监测</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1、监测范围</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14个乡镇集中式饮用水源地和一个备用水源。详见附表1</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2、监测项目</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《地表水环境质量标准》（GB 3838-2002）表1 的基本项目（24项）、表2的补充项目（5项），共29项。</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3.监测频次</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每季度监测1次、全年4次。</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4.数据报送</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检测采样后10个工作日内将正式检测报告报送霍山县环境监测站审核。审核通过后霍山县环境监测站按照要求逐级上报。</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5.质量保证与质量控制</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质量保证和质量控制按照《地表水和污水监测技术规范》（HJ/T91-2002）及《环境水质监测质量保证手册（第二版）》要求执行。</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二、 20吨以上污水处理厂出水水质监测</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1、监测范围</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16个乡镇污水处理站。详见附表2</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2、监测项目</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化学需氧量（CODcr）、氨氮。</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3.监测频次</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每季度监测1次、全年4次。</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4.数据报送</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检测采样后10个工作日内将正式检测报告报送霍山县环境监测站审核。审核通过后霍山县环境监测站按照要求逐级上报。</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5.质量保证与质量控制</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质量保证和质量控制按照《地表水和污水监测技术规范》（HJ/T91-2002）及《环境水质监测质量保证手册（第二版）》要求执行。</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三、 重点污染源监督监测</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1、监测范围</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六安市生态环境局确定的8家重点污染源。详见附表3</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2、监测项目</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具体依据环评批复和行业标准确定，并开展在线设备的比对监测。详见附表3</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3.监测频次</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每季度监测1次、全年4次。</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4.数据报送</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检测采样后10个工作日内将正式检测报告报送霍山县环境监测站审核。审核通过后霍山县环境监测站按照要求逐级上报。</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5.质量保证与质量控制</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质量保证和质量控制按照《地表水和污水监测技术规范》（HJ/T91-2002）、《环境水质监测质量保证手册（第二版）》、《固定源废气监测技术规范》以及相关技术规范和监测标准要求执行。</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四、 排污许可证发证企业监督监测</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1、监测范围</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20家排污许可证发证企业。详见附表4</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2、监测项目</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依据排污许可证确定。详见附表4</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3.监测频次</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每半年监测1次、全年2次。</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4.数据报送</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检测采样后15个工作日内将正式检测报告报送霍山县环境监测站审核。审核通过后霍山县环境监测站按照要求逐级上报。</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5.质量保证与质量控制</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bCs/>
          <w:color w:val="auto"/>
          <w:sz w:val="21"/>
          <w:szCs w:val="21"/>
        </w:rPr>
      </w:pPr>
      <w:r>
        <w:rPr>
          <w:rFonts w:hint="eastAsia" w:ascii="宋体" w:hAnsi="宋体"/>
          <w:bCs/>
          <w:color w:val="auto"/>
          <w:sz w:val="21"/>
          <w:szCs w:val="21"/>
        </w:rPr>
        <w:t>质量保证和质量控制按照《地表水和污水监测技术规范》（HJ/T91-2002）、《环境水质监测质量保证手册（第二版）》、《固定源废气监测技术规范》以及相关技术规范和监测标准要求执行。</w:t>
      </w:r>
    </w:p>
    <w:p>
      <w:pPr>
        <w:spacing w:line="560" w:lineRule="exact"/>
        <w:ind w:firstLine="600" w:firstLineChars="200"/>
        <w:rPr>
          <w:rFonts w:ascii="楷体" w:hAnsi="楷体" w:eastAsia="楷体" w:cs="楷体_GB2312"/>
          <w:color w:val="000000"/>
          <w:sz w:val="30"/>
          <w:szCs w:val="30"/>
        </w:rPr>
      </w:pPr>
    </w:p>
    <w:p>
      <w:pPr>
        <w:spacing w:line="360" w:lineRule="auto"/>
        <w:rPr>
          <w:rFonts w:ascii="宋体" w:hAnsi="Times New Roman" w:cs="Arial"/>
          <w:b/>
          <w:color w:val="000000"/>
          <w:szCs w:val="20"/>
        </w:rPr>
      </w:pPr>
    </w:p>
    <w:p>
      <w:pPr>
        <w:spacing w:line="360" w:lineRule="auto"/>
        <w:rPr>
          <w:rFonts w:hint="eastAsia" w:ascii="宋体" w:hAnsi="Times New Roman" w:cs="Arial"/>
          <w:b/>
          <w:color w:val="000000"/>
          <w:sz w:val="32"/>
          <w:szCs w:val="32"/>
        </w:rPr>
      </w:pPr>
    </w:p>
    <w:p>
      <w:pPr>
        <w:jc w:val="center"/>
        <w:rPr>
          <w:rFonts w:ascii="Times New Roman" w:hAnsi="Times New Roman"/>
          <w:b/>
          <w:color w:val="000000"/>
          <w:szCs w:val="20"/>
        </w:rPr>
      </w:pPr>
    </w:p>
    <w:p>
      <w:pPr>
        <w:rPr>
          <w:rFonts w:ascii="Times New Roman" w:hAnsi="Times New Roman"/>
          <w:color w:val="000000"/>
          <w:szCs w:val="20"/>
        </w:rPr>
      </w:pPr>
    </w:p>
    <w:p>
      <w:pPr>
        <w:rPr>
          <w:rFonts w:ascii="Times New Roman" w:hAnsi="Times New Roman"/>
          <w:color w:val="000000"/>
          <w:szCs w:val="20"/>
        </w:rPr>
      </w:pPr>
    </w:p>
    <w:p>
      <w:pPr>
        <w:tabs>
          <w:tab w:val="left" w:pos="1209"/>
        </w:tabs>
        <w:jc w:val="left"/>
        <w:rPr>
          <w:rFonts w:ascii="Times New Roman" w:hAnsi="Times New Roman"/>
          <w:color w:val="000000"/>
          <w:szCs w:val="20"/>
        </w:rPr>
        <w:sectPr>
          <w:footerReference r:id="rId3" w:type="default"/>
          <w:pgSz w:w="11906" w:h="16838"/>
          <w:pgMar w:top="1440" w:right="1800" w:bottom="1440" w:left="1380" w:header="851" w:footer="992" w:gutter="0"/>
          <w:cols w:space="720" w:num="1"/>
          <w:docGrid w:type="lines" w:linePitch="312" w:charSpace="0"/>
        </w:sectPr>
      </w:pPr>
    </w:p>
    <w:p>
      <w:pPr>
        <w:rPr>
          <w:rFonts w:ascii="Times New Roman" w:hAnsi="Times New Roman"/>
          <w:b/>
          <w:color w:val="000000"/>
          <w:sz w:val="24"/>
          <w:szCs w:val="20"/>
        </w:rPr>
      </w:pPr>
      <w:r>
        <w:rPr>
          <w:rFonts w:hint="eastAsia" w:ascii="Times New Roman" w:hAnsi="Times New Roman"/>
          <w:b/>
          <w:color w:val="000000"/>
          <w:sz w:val="24"/>
          <w:szCs w:val="20"/>
        </w:rPr>
        <w:t>附表1</w:t>
      </w:r>
    </w:p>
    <w:tbl>
      <w:tblPr>
        <w:tblStyle w:val="17"/>
        <w:tblW w:w="0" w:type="auto"/>
        <w:jc w:val="center"/>
        <w:tblLayout w:type="fixed"/>
        <w:tblCellMar>
          <w:top w:w="0" w:type="dxa"/>
          <w:left w:w="108" w:type="dxa"/>
          <w:bottom w:w="0" w:type="dxa"/>
          <w:right w:w="108" w:type="dxa"/>
        </w:tblCellMar>
      </w:tblPr>
      <w:tblGrid>
        <w:gridCol w:w="594"/>
        <w:gridCol w:w="1019"/>
        <w:gridCol w:w="1019"/>
        <w:gridCol w:w="1116"/>
        <w:gridCol w:w="1937"/>
        <w:gridCol w:w="851"/>
        <w:gridCol w:w="1134"/>
        <w:gridCol w:w="992"/>
        <w:gridCol w:w="992"/>
        <w:gridCol w:w="851"/>
        <w:gridCol w:w="709"/>
        <w:gridCol w:w="992"/>
        <w:gridCol w:w="850"/>
        <w:gridCol w:w="851"/>
      </w:tblGrid>
      <w:tr>
        <w:tblPrEx>
          <w:tblCellMar>
            <w:top w:w="0" w:type="dxa"/>
            <w:left w:w="108" w:type="dxa"/>
            <w:bottom w:w="0" w:type="dxa"/>
            <w:right w:w="108" w:type="dxa"/>
          </w:tblCellMar>
        </w:tblPrEx>
        <w:trPr>
          <w:trHeight w:val="750" w:hRule="atLeast"/>
          <w:jc w:val="center"/>
        </w:trPr>
        <w:tc>
          <w:tcPr>
            <w:tcW w:w="13907" w:type="dxa"/>
            <w:gridSpan w:val="14"/>
            <w:tcBorders>
              <w:top w:val="nil"/>
              <w:left w:val="nil"/>
              <w:bottom w:val="single" w:color="auto" w:sz="4" w:space="0"/>
              <w:right w:val="nil"/>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8"/>
                <w:szCs w:val="24"/>
              </w:rPr>
              <w:t>霍山县乡镇集中式饮用水源地基本情况一览表</w:t>
            </w:r>
          </w:p>
        </w:tc>
      </w:tr>
      <w:tr>
        <w:tblPrEx>
          <w:tblCellMar>
            <w:top w:w="0" w:type="dxa"/>
            <w:left w:w="108" w:type="dxa"/>
            <w:bottom w:w="0" w:type="dxa"/>
            <w:right w:w="108" w:type="dxa"/>
          </w:tblCellMar>
        </w:tblPrEx>
        <w:trPr>
          <w:trHeight w:val="660"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序号</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村庄</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取水口</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水源名称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供水服务对象</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水源类型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供水类型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取水口经度(度)</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经度(分)</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经度(秒)</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取水口纬度(度)</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纬度(分)</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纬度(秒)</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下符桥镇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圣人山村</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东淠河下符桥段</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东淠河下符桥镇圣人山村河流型水源地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河流型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20</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42.5</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28</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13.61</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但家庙镇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观音岩村</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观音岩水库二库</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东淠河但家庙镇观音岩村水库型水源地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水库型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26</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3.45</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58.26</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与儿街镇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大沙埂村</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高河水库</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东淠河与儿街镇大沙埂村水库型水源地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水库型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24</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27.04</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24</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1.38</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磨子潭镇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磨子潭</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龙井河</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东淠河磨子潭镇磨子潭河流型水源地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河流型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19</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46.26</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14</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36.83</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上土市镇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上土市</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五桂河</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东淠河上土市镇上土市河流型水源地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河流型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115</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58</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4.89</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41.66</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漫水河镇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漫水河</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清水河与漫水河交汇处</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东淠河漫水河镇漫水河河流型水源地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河流型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0</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31.68</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14.63</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7</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大化坪镇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白莲岩</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白莲崖水库</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东淠河大化坪镇白莲岩水库型水源地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水库型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1.81</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38.53</w:t>
            </w:r>
          </w:p>
        </w:tc>
      </w:tr>
      <w:tr>
        <w:tblPrEx>
          <w:tblCellMar>
            <w:top w:w="0" w:type="dxa"/>
            <w:left w:w="108" w:type="dxa"/>
            <w:bottom w:w="0" w:type="dxa"/>
            <w:right w:w="108" w:type="dxa"/>
          </w:tblCellMar>
        </w:tblPrEx>
        <w:trPr>
          <w:trHeight w:val="1020"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8</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落儿岭镇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落儿岭</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剪槽河</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东淠河落儿岭镇落儿岭河流型水源地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河流型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46.01</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22</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44.28</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9</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诸佛庵镇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西石门</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桃源河</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东淠河诸佛庵镇西石门河流型水源地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河流型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7</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30.03</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25</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2.87</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10</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大化坪镇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清风岭</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爬爬岩水库</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东淠河大化坪镇清风岭水库型水源地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湖库型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1350"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单龙寺镇</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东风桥村</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转桂园河</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东淠河单龙寺镇东风桥村河流型水源地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河流型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22</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14</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21.54</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12</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东西溪乡</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余家畈</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九里河</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东淠河东西溪乡余家畈河流型水源地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河流型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25</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11.99</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12</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14.16</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13</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太阳乡</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太阳</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上东河</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东淠河太阳乡太阳河流型水源地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河流型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19.24</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31.87</w:t>
            </w:r>
          </w:p>
        </w:tc>
      </w:tr>
      <w:tr>
        <w:tblPrEx>
          <w:tblCellMar>
            <w:top w:w="0" w:type="dxa"/>
            <w:left w:w="108" w:type="dxa"/>
            <w:bottom w:w="0" w:type="dxa"/>
            <w:right w:w="108" w:type="dxa"/>
          </w:tblCellMar>
        </w:tblPrEx>
        <w:trPr>
          <w:trHeight w:val="855" w:hRule="atLeast"/>
          <w:jc w:val="center"/>
        </w:trPr>
        <w:tc>
          <w:tcPr>
            <w:tcW w:w="594" w:type="dxa"/>
            <w:tcBorders>
              <w:top w:val="nil"/>
              <w:left w:val="single" w:color="auto" w:sz="4" w:space="0"/>
              <w:bottom w:val="single" w:color="auto" w:sz="4" w:space="0"/>
              <w:right w:val="single" w:color="auto" w:sz="4" w:space="0"/>
            </w:tcBorders>
            <w:noWrap/>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14</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太平畈乡</w:t>
            </w:r>
          </w:p>
        </w:tc>
        <w:tc>
          <w:tcPr>
            <w:tcW w:w="101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太平畈</w:t>
            </w:r>
          </w:p>
        </w:tc>
        <w:tc>
          <w:tcPr>
            <w:tcW w:w="1116"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洪峰河</w:t>
            </w:r>
          </w:p>
        </w:tc>
        <w:tc>
          <w:tcPr>
            <w:tcW w:w="1937"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东淠河太平畈乡太平畈河流型水源地</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乡镇</w:t>
            </w:r>
          </w:p>
        </w:tc>
        <w:tc>
          <w:tcPr>
            <w:tcW w:w="1134"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河流型</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集中式</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115</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59</w:t>
            </w:r>
          </w:p>
        </w:tc>
        <w:tc>
          <w:tcPr>
            <w:tcW w:w="709"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44.41</w:t>
            </w:r>
          </w:p>
        </w:tc>
        <w:tc>
          <w:tcPr>
            <w:tcW w:w="992"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31</w:t>
            </w:r>
          </w:p>
        </w:tc>
        <w:tc>
          <w:tcPr>
            <w:tcW w:w="850"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851" w:type="dxa"/>
            <w:tcBorders>
              <w:top w:val="nil"/>
              <w:left w:val="nil"/>
              <w:bottom w:val="single" w:color="auto" w:sz="4" w:space="0"/>
              <w:right w:val="single" w:color="auto" w:sz="4" w:space="0"/>
            </w:tcBorders>
            <w:noWrap w:val="0"/>
            <w:vAlign w:val="center"/>
          </w:tcPr>
          <w:p>
            <w:pPr>
              <w:widowControl/>
              <w:jc w:val="center"/>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55.71</w:t>
            </w:r>
          </w:p>
        </w:tc>
      </w:tr>
      <w:tr>
        <w:tblPrEx>
          <w:tblCellMar>
            <w:top w:w="0" w:type="dxa"/>
            <w:left w:w="108" w:type="dxa"/>
            <w:bottom w:w="0" w:type="dxa"/>
            <w:right w:w="108" w:type="dxa"/>
          </w:tblCellMar>
        </w:tblPrEx>
        <w:trPr>
          <w:trHeight w:val="855" w:hRule="atLeast"/>
          <w:jc w:val="center"/>
        </w:trPr>
        <w:tc>
          <w:tcPr>
            <w:tcW w:w="59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15</w:t>
            </w:r>
          </w:p>
        </w:tc>
        <w:tc>
          <w:tcPr>
            <w:tcW w:w="101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衡山镇</w:t>
            </w:r>
          </w:p>
        </w:tc>
        <w:tc>
          <w:tcPr>
            <w:tcW w:w="101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衡山镇</w:t>
            </w:r>
          </w:p>
        </w:tc>
        <w:tc>
          <w:tcPr>
            <w:tcW w:w="1116"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前进水库</w:t>
            </w:r>
          </w:p>
        </w:tc>
        <w:tc>
          <w:tcPr>
            <w:tcW w:w="193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备用水源</w:t>
            </w:r>
          </w:p>
        </w:tc>
        <w:tc>
          <w:tcPr>
            <w:tcW w:w="85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p>
        </w:tc>
        <w:tc>
          <w:tcPr>
            <w:tcW w:w="113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p>
        </w:tc>
        <w:tc>
          <w:tcPr>
            <w:tcW w:w="99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p>
        </w:tc>
        <w:tc>
          <w:tcPr>
            <w:tcW w:w="99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p>
        </w:tc>
        <w:tc>
          <w:tcPr>
            <w:tcW w:w="85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p>
        </w:tc>
        <w:tc>
          <w:tcPr>
            <w:tcW w:w="709"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p>
        </w:tc>
        <w:tc>
          <w:tcPr>
            <w:tcW w:w="99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p>
        </w:tc>
        <w:tc>
          <w:tcPr>
            <w:tcW w:w="85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p>
        </w:tc>
        <w:tc>
          <w:tcPr>
            <w:tcW w:w="85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微软雅黑" w:hAnsi="微软雅黑" w:eastAsia="微软雅黑" w:cs="宋体"/>
                <w:color w:val="000000"/>
                <w:kern w:val="0"/>
                <w:sz w:val="18"/>
                <w:szCs w:val="18"/>
              </w:rPr>
            </w:pPr>
          </w:p>
        </w:tc>
      </w:tr>
    </w:tbl>
    <w:p>
      <w:pPr>
        <w:rPr>
          <w:rFonts w:hint="eastAsia" w:ascii="Times New Roman" w:hAnsi="Times New Roman"/>
          <w:color w:val="000000"/>
          <w:sz w:val="32"/>
          <w:szCs w:val="32"/>
        </w:rPr>
      </w:pPr>
      <w:r>
        <w:rPr>
          <w:rFonts w:hint="eastAsia" w:ascii="Times New Roman" w:hAnsi="Times New Roman"/>
          <w:color w:val="000000"/>
          <w:sz w:val="32"/>
          <w:szCs w:val="32"/>
        </w:rPr>
        <w:br w:type="page"/>
      </w:r>
    </w:p>
    <w:p>
      <w:pPr>
        <w:widowControl/>
        <w:jc w:val="left"/>
        <w:rPr>
          <w:rFonts w:hint="eastAsia" w:ascii="宋体" w:hAnsi="宋体" w:cs="宋体"/>
          <w:color w:val="000000"/>
          <w:kern w:val="0"/>
          <w:sz w:val="32"/>
          <w:szCs w:val="24"/>
        </w:rPr>
      </w:pPr>
      <w:r>
        <w:rPr>
          <w:rFonts w:hint="eastAsia" w:ascii="Times New Roman" w:hAnsi="Times New Roman"/>
          <w:b/>
          <w:color w:val="000000"/>
          <w:sz w:val="28"/>
          <w:szCs w:val="20"/>
        </w:rPr>
        <w:t xml:space="preserve">附表2 </w:t>
      </w:r>
      <w:r>
        <w:rPr>
          <w:rFonts w:hint="eastAsia" w:ascii="Times New Roman" w:hAnsi="Times New Roman"/>
          <w:b/>
          <w:color w:val="000000"/>
          <w:szCs w:val="20"/>
        </w:rPr>
        <w:t xml:space="preserve">                            </w:t>
      </w:r>
      <w:r>
        <w:rPr>
          <w:rFonts w:hint="eastAsia" w:ascii="宋体" w:hAnsi="宋体" w:cs="宋体"/>
          <w:color w:val="000000"/>
          <w:kern w:val="0"/>
          <w:sz w:val="32"/>
          <w:szCs w:val="24"/>
        </w:rPr>
        <w:t>霍山县乡镇污水处理站基本情况一览表</w:t>
      </w:r>
    </w:p>
    <w:p>
      <w:pPr>
        <w:rPr>
          <w:rFonts w:ascii="Times New Roman" w:hAnsi="Times New Roman"/>
          <w:b/>
          <w:color w:val="000000"/>
          <w:szCs w:val="20"/>
        </w:rPr>
      </w:pPr>
    </w:p>
    <w:tbl>
      <w:tblPr>
        <w:tblStyle w:val="17"/>
        <w:tblW w:w="13590" w:type="dxa"/>
        <w:tblInd w:w="93" w:type="dxa"/>
        <w:tblLayout w:type="fixed"/>
        <w:tblCellMar>
          <w:top w:w="0" w:type="dxa"/>
          <w:left w:w="108" w:type="dxa"/>
          <w:bottom w:w="0" w:type="dxa"/>
          <w:right w:w="108" w:type="dxa"/>
        </w:tblCellMar>
      </w:tblPr>
      <w:tblGrid>
        <w:gridCol w:w="1096"/>
        <w:gridCol w:w="1596"/>
        <w:gridCol w:w="2396"/>
        <w:gridCol w:w="1357"/>
        <w:gridCol w:w="1357"/>
        <w:gridCol w:w="2896"/>
        <w:gridCol w:w="1596"/>
        <w:gridCol w:w="1296"/>
      </w:tblGrid>
      <w:tr>
        <w:tblPrEx>
          <w:tblCellMar>
            <w:top w:w="0" w:type="dxa"/>
            <w:left w:w="108" w:type="dxa"/>
            <w:bottom w:w="0" w:type="dxa"/>
            <w:right w:w="108" w:type="dxa"/>
          </w:tblCellMar>
        </w:tblPrEx>
        <w:trPr>
          <w:trHeight w:val="737" w:hRule="exact"/>
        </w:trPr>
        <w:tc>
          <w:tcPr>
            <w:tcW w:w="10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0"/>
                <w:szCs w:val="20"/>
              </w:rPr>
            </w:pPr>
            <w:r>
              <w:rPr>
                <w:rFonts w:ascii="Courier New" w:hAnsi="Courier New" w:cs="Courier New"/>
                <w:color w:val="000000"/>
                <w:sz w:val="20"/>
                <w:szCs w:val="20"/>
              </w:rPr>
              <w:t xml:space="preserve">序号 </w:t>
            </w:r>
            <w:r>
              <w:rPr>
                <w:rFonts w:hint="eastAsia" w:ascii="Courier New" w:hAnsi="Courier New" w:cs="Courier New"/>
                <w:color w:val="000000"/>
                <w:sz w:val="20"/>
                <w:szCs w:val="20"/>
              </w:rPr>
              <w:t xml:space="preserve">  </w:t>
            </w:r>
          </w:p>
        </w:tc>
        <w:tc>
          <w:tcPr>
            <w:tcW w:w="15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0"/>
                <w:szCs w:val="20"/>
              </w:rPr>
            </w:pPr>
            <w:r>
              <w:rPr>
                <w:rFonts w:ascii="Courier New" w:hAnsi="Courier New" w:cs="Courier New"/>
                <w:color w:val="000000"/>
                <w:sz w:val="20"/>
                <w:szCs w:val="20"/>
              </w:rPr>
              <w:t>县（区）</w:t>
            </w:r>
            <w:r>
              <w:rPr>
                <w:rFonts w:hint="eastAsia" w:ascii="Courier New" w:hAnsi="Courier New" w:cs="Courier New"/>
                <w:color w:val="000000"/>
                <w:sz w:val="20"/>
                <w:szCs w:val="20"/>
              </w:rPr>
              <w:t xml:space="preserve">   </w:t>
            </w:r>
            <w:r>
              <w:rPr>
                <w:rFonts w:ascii="Courier New" w:hAnsi="Courier New" w:cs="Courier New"/>
                <w:color w:val="000000"/>
                <w:sz w:val="20"/>
                <w:szCs w:val="20"/>
              </w:rPr>
              <w:t xml:space="preserve"> </w:t>
            </w:r>
          </w:p>
        </w:tc>
        <w:tc>
          <w:tcPr>
            <w:tcW w:w="23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0"/>
                <w:szCs w:val="20"/>
              </w:rPr>
            </w:pPr>
            <w:r>
              <w:rPr>
                <w:rFonts w:ascii="Courier New" w:hAnsi="Courier New" w:cs="Courier New"/>
                <w:color w:val="000000"/>
                <w:sz w:val="20"/>
                <w:szCs w:val="20"/>
              </w:rPr>
              <w:t>村名</w:t>
            </w:r>
          </w:p>
        </w:tc>
        <w:tc>
          <w:tcPr>
            <w:tcW w:w="135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0"/>
                <w:szCs w:val="20"/>
              </w:rPr>
            </w:pPr>
            <w:r>
              <w:rPr>
                <w:rFonts w:ascii="Courier New" w:hAnsi="Courier New" w:cs="Courier New"/>
                <w:color w:val="000000"/>
                <w:sz w:val="20"/>
                <w:szCs w:val="20"/>
              </w:rPr>
              <w:t xml:space="preserve">经度(°) </w:t>
            </w:r>
            <w:r>
              <w:rPr>
                <w:rFonts w:hint="eastAsia" w:ascii="Courier New" w:hAnsi="Courier New" w:cs="Courier New"/>
                <w:color w:val="000000"/>
                <w:sz w:val="20"/>
                <w:szCs w:val="20"/>
              </w:rPr>
              <w:t xml:space="preserve"> </w:t>
            </w:r>
          </w:p>
        </w:tc>
        <w:tc>
          <w:tcPr>
            <w:tcW w:w="135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0"/>
                <w:szCs w:val="20"/>
              </w:rPr>
            </w:pPr>
            <w:r>
              <w:rPr>
                <w:rFonts w:ascii="Courier New" w:hAnsi="Courier New" w:cs="Courier New"/>
                <w:color w:val="000000"/>
                <w:sz w:val="20"/>
                <w:szCs w:val="20"/>
              </w:rPr>
              <w:t xml:space="preserve">纬度(°) </w:t>
            </w:r>
            <w:r>
              <w:rPr>
                <w:rFonts w:hint="eastAsia" w:ascii="Courier New" w:hAnsi="Courier New" w:cs="Courier New"/>
                <w:color w:val="000000"/>
                <w:sz w:val="20"/>
                <w:szCs w:val="20"/>
              </w:rPr>
              <w:t xml:space="preserve"> </w:t>
            </w:r>
          </w:p>
        </w:tc>
        <w:tc>
          <w:tcPr>
            <w:tcW w:w="2896" w:type="dxa"/>
            <w:vMerge w:val="restart"/>
            <w:tcBorders>
              <w:top w:val="single" w:color="auto" w:sz="4" w:space="0"/>
              <w:left w:val="single" w:color="auto" w:sz="4" w:space="0"/>
              <w:bottom w:val="single" w:color="000000"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污水处理厂（人工湿地）名</w:t>
            </w:r>
            <w:r>
              <w:rPr>
                <w:rFonts w:ascii="Courier New" w:hAnsi="Courier New" w:cs="Courier New"/>
                <w:color w:val="000000"/>
                <w:sz w:val="20"/>
                <w:szCs w:val="20"/>
              </w:rPr>
              <w:t xml:space="preserve"> </w:t>
            </w:r>
          </w:p>
        </w:tc>
        <w:tc>
          <w:tcPr>
            <w:tcW w:w="15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0"/>
                <w:szCs w:val="20"/>
              </w:rPr>
            </w:pPr>
            <w:r>
              <w:rPr>
                <w:rFonts w:hint="eastAsia"/>
                <w:color w:val="000000"/>
                <w:sz w:val="20"/>
                <w:szCs w:val="20"/>
              </w:rPr>
              <w:t>污水处理方法</w:t>
            </w:r>
          </w:p>
        </w:tc>
        <w:tc>
          <w:tcPr>
            <w:tcW w:w="129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0"/>
                <w:szCs w:val="20"/>
              </w:rPr>
            </w:pPr>
            <w:r>
              <w:rPr>
                <w:rFonts w:ascii="Courier New" w:hAnsi="Courier New" w:cs="Courier New"/>
                <w:color w:val="000000"/>
                <w:sz w:val="20"/>
                <w:szCs w:val="20"/>
              </w:rPr>
              <w:t xml:space="preserve">处理规模 </w:t>
            </w:r>
          </w:p>
        </w:tc>
      </w:tr>
      <w:tr>
        <w:tblPrEx>
          <w:tblCellMar>
            <w:top w:w="0" w:type="dxa"/>
            <w:left w:w="108" w:type="dxa"/>
            <w:bottom w:w="0" w:type="dxa"/>
            <w:right w:w="108" w:type="dxa"/>
          </w:tblCellMar>
        </w:tblPrEx>
        <w:trPr>
          <w:trHeight w:val="737" w:hRule="exact"/>
        </w:trPr>
        <w:tc>
          <w:tcPr>
            <w:tcW w:w="109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Courier New" w:hAnsi="Courier New" w:cs="Courier New"/>
                <w:color w:val="000000"/>
                <w:sz w:val="20"/>
                <w:szCs w:val="20"/>
              </w:rPr>
            </w:pPr>
          </w:p>
        </w:tc>
        <w:tc>
          <w:tcPr>
            <w:tcW w:w="159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Courier New" w:hAnsi="Courier New" w:cs="Courier New"/>
                <w:color w:val="000000"/>
                <w:sz w:val="20"/>
                <w:szCs w:val="20"/>
              </w:rPr>
            </w:pPr>
          </w:p>
        </w:tc>
        <w:tc>
          <w:tcPr>
            <w:tcW w:w="239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Courier New" w:hAnsi="Courier New" w:cs="Courier New"/>
                <w:color w:val="000000"/>
                <w:sz w:val="20"/>
                <w:szCs w:val="20"/>
              </w:rPr>
            </w:pPr>
          </w:p>
        </w:tc>
        <w:tc>
          <w:tcPr>
            <w:tcW w:w="135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Courier New" w:hAnsi="Courier New" w:cs="Courier New"/>
                <w:color w:val="000000"/>
                <w:sz w:val="20"/>
                <w:szCs w:val="20"/>
              </w:rPr>
            </w:pPr>
          </w:p>
        </w:tc>
        <w:tc>
          <w:tcPr>
            <w:tcW w:w="135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Courier New" w:hAnsi="Courier New" w:cs="Courier New"/>
                <w:color w:val="000000"/>
                <w:sz w:val="20"/>
                <w:szCs w:val="20"/>
              </w:rPr>
            </w:pPr>
          </w:p>
        </w:tc>
        <w:tc>
          <w:tcPr>
            <w:tcW w:w="2896" w:type="dxa"/>
            <w:vMerge w:val="continue"/>
            <w:tcBorders>
              <w:top w:val="single" w:color="auto" w:sz="4" w:space="0"/>
              <w:left w:val="single" w:color="auto" w:sz="4" w:space="0"/>
              <w:bottom w:val="single" w:color="000000" w:sz="4" w:space="0"/>
              <w:right w:val="single" w:color="auto" w:sz="4" w:space="0"/>
            </w:tcBorders>
            <w:shd w:val="clear" w:color="auto" w:fill="auto"/>
            <w:noWrap w:val="0"/>
            <w:vAlign w:val="center"/>
          </w:tcPr>
          <w:p>
            <w:pPr>
              <w:rPr>
                <w:rFonts w:ascii="宋体" w:hAnsi="宋体" w:cs="宋体"/>
                <w:color w:val="000000"/>
                <w:sz w:val="20"/>
                <w:szCs w:val="20"/>
              </w:rPr>
            </w:pPr>
          </w:p>
        </w:tc>
        <w:tc>
          <w:tcPr>
            <w:tcW w:w="159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ascii="宋体" w:hAnsi="宋体" w:cs="宋体"/>
                <w:color w:val="000000"/>
                <w:sz w:val="20"/>
                <w:szCs w:val="20"/>
              </w:rPr>
            </w:pPr>
          </w:p>
        </w:tc>
        <w:tc>
          <w:tcPr>
            <w:tcW w:w="1296" w:type="dxa"/>
            <w:tcBorders>
              <w:top w:val="nil"/>
              <w:left w:val="nil"/>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0"/>
                <w:szCs w:val="20"/>
              </w:rPr>
            </w:pPr>
            <w:r>
              <w:rPr>
                <w:rFonts w:ascii="Courier New" w:hAnsi="Courier New" w:cs="Courier New"/>
                <w:color w:val="000000"/>
                <w:sz w:val="20"/>
                <w:szCs w:val="20"/>
              </w:rPr>
              <w:t xml:space="preserve">(m3/d) </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1</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 xml:space="preserve">黑石渡镇黑石渡社区  </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116.2448</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31.3879</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黑石渡镇污水处理站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300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2</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下符桥镇下符桥村</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116.3628</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31.4712</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下符桥镇污水处理站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400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3</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大化坪镇大化坪村</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116.2311</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31.2079</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大化坪镇污水处理站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260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4</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衡山镇永康桥村</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116.2883</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31.4095</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衡山镇永康桥村污水处理站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150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5</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单龙寺镇东风桥村</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116.3729</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31.2745</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单龙寺镇污水处理站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220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6</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佛子岭镇佛子岭社区</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116.2405</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31.3704</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佛子岭镇污水处理站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600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7</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磨子潭镇磨子潭村</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116.3259</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31.2450</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磨子潭镇污水处理站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200</w:t>
            </w:r>
          </w:p>
        </w:tc>
      </w:tr>
      <w:tr>
        <w:tblPrEx>
          <w:tblCellMar>
            <w:top w:w="0" w:type="dxa"/>
            <w:left w:w="108" w:type="dxa"/>
            <w:bottom w:w="0" w:type="dxa"/>
            <w:right w:w="108" w:type="dxa"/>
          </w:tblCellMar>
        </w:tblPrEx>
        <w:trPr>
          <w:trHeight w:val="737" w:hRule="exact"/>
        </w:trPr>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8</w:t>
            </w:r>
          </w:p>
        </w:tc>
        <w:tc>
          <w:tcPr>
            <w:tcW w:w="15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上土市镇上土市村</w:t>
            </w:r>
          </w:p>
        </w:tc>
        <w:tc>
          <w:tcPr>
            <w:tcW w:w="135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115.9894</w:t>
            </w:r>
          </w:p>
        </w:tc>
        <w:tc>
          <w:tcPr>
            <w:tcW w:w="135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31.1478</w:t>
            </w:r>
          </w:p>
        </w:tc>
        <w:tc>
          <w:tcPr>
            <w:tcW w:w="28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上土市镇污水处理站</w:t>
            </w:r>
          </w:p>
        </w:tc>
        <w:tc>
          <w:tcPr>
            <w:tcW w:w="15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350</w:t>
            </w:r>
          </w:p>
        </w:tc>
      </w:tr>
      <w:tr>
        <w:tblPrEx>
          <w:tblCellMar>
            <w:top w:w="0" w:type="dxa"/>
            <w:left w:w="108" w:type="dxa"/>
            <w:bottom w:w="0" w:type="dxa"/>
            <w:right w:w="108" w:type="dxa"/>
          </w:tblCellMar>
        </w:tblPrEx>
        <w:trPr>
          <w:trHeight w:val="737" w:hRule="exact"/>
        </w:trPr>
        <w:tc>
          <w:tcPr>
            <w:tcW w:w="10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9</w:t>
            </w:r>
          </w:p>
        </w:tc>
        <w:tc>
          <w:tcPr>
            <w:tcW w:w="1596" w:type="dxa"/>
            <w:tcBorders>
              <w:top w:val="single" w:color="auto" w:sz="4" w:space="0"/>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诸佛庵镇狮山村</w:t>
            </w:r>
          </w:p>
        </w:tc>
        <w:tc>
          <w:tcPr>
            <w:tcW w:w="1357"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116.1747</w:t>
            </w:r>
          </w:p>
        </w:tc>
        <w:tc>
          <w:tcPr>
            <w:tcW w:w="1357"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31.4162</w:t>
            </w:r>
          </w:p>
        </w:tc>
        <w:tc>
          <w:tcPr>
            <w:tcW w:w="2896"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诸佛庵镇污水处理站</w:t>
            </w:r>
          </w:p>
        </w:tc>
        <w:tc>
          <w:tcPr>
            <w:tcW w:w="1596"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single" w:color="auto" w:sz="4" w:space="0"/>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700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10</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落儿岭镇落儿岭村</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116.1973</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31.3765</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落儿岭镇污水处理站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180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11</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漫水河镇西镇社区</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116.0152</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31.1927</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漫水河镇污水处理站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400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12</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太阳乡太阳村</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116.0971</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31.1194</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太阳乡污水处理站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100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13</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太平畈乡太平村</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115.9878</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w:t>
            </w:r>
            <w:r>
              <w:rPr>
                <w:rFonts w:hint="eastAsia"/>
                <w:color w:val="000000"/>
                <w:sz w:val="20"/>
                <w:szCs w:val="20"/>
                <w:lang w:eastAsia="zh-CN"/>
              </w:rPr>
              <w:t>062</w:t>
            </w:r>
            <w:r>
              <w:rPr>
                <w:rFonts w:ascii="Times New Roman" w:hAnsi="Times New Roman"/>
                <w:color w:val="000000"/>
                <w:sz w:val="20"/>
                <w:szCs w:val="20"/>
              </w:rPr>
              <w:t>0</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太平畈乡污水处理站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100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14</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与儿街镇与儿街社区</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116.4370</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31.3854</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与儿街镇污水处理站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500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15</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但家庙镇大河厂村</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116.4213</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31.4569</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但家庙镇污水处理站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300</w:t>
            </w:r>
          </w:p>
        </w:tc>
      </w:tr>
      <w:tr>
        <w:tblPrEx>
          <w:tblCellMar>
            <w:top w:w="0" w:type="dxa"/>
            <w:left w:w="108" w:type="dxa"/>
            <w:bottom w:w="0" w:type="dxa"/>
            <w:right w:w="108" w:type="dxa"/>
          </w:tblCellMar>
        </w:tblPrEx>
        <w:trPr>
          <w:trHeight w:val="737" w:hRule="exact"/>
        </w:trPr>
        <w:tc>
          <w:tcPr>
            <w:tcW w:w="109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rPr>
            </w:pPr>
            <w:r>
              <w:rPr>
                <w:rFonts w:hint="eastAsia"/>
                <w:color w:val="000000"/>
                <w:sz w:val="22"/>
              </w:rPr>
              <w:t>16</w:t>
            </w:r>
          </w:p>
        </w:tc>
        <w:tc>
          <w:tcPr>
            <w:tcW w:w="15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rPr>
            </w:pPr>
            <w:r>
              <w:rPr>
                <w:rFonts w:hint="eastAsia"/>
                <w:color w:val="000000"/>
                <w:sz w:val="22"/>
              </w:rPr>
              <w:t>霍山县</w:t>
            </w:r>
          </w:p>
        </w:tc>
        <w:tc>
          <w:tcPr>
            <w:tcW w:w="2396"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东西溪乡西溪社区</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116.4251</w:t>
            </w:r>
          </w:p>
        </w:tc>
        <w:tc>
          <w:tcPr>
            <w:tcW w:w="1357"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31.2234</w:t>
            </w:r>
          </w:p>
        </w:tc>
        <w:tc>
          <w:tcPr>
            <w:tcW w:w="2896"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0"/>
                <w:szCs w:val="20"/>
              </w:rPr>
            </w:pPr>
            <w:r>
              <w:rPr>
                <w:rFonts w:hint="eastAsia"/>
                <w:color w:val="000000"/>
                <w:sz w:val="20"/>
                <w:szCs w:val="20"/>
              </w:rPr>
              <w:t>东西溪乡污水处理站</w:t>
            </w:r>
          </w:p>
        </w:tc>
        <w:tc>
          <w:tcPr>
            <w:tcW w:w="15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A/O+MBR</w:t>
            </w:r>
          </w:p>
        </w:tc>
        <w:tc>
          <w:tcPr>
            <w:tcW w:w="129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0"/>
                <w:szCs w:val="20"/>
              </w:rPr>
            </w:pPr>
            <w:r>
              <w:rPr>
                <w:rFonts w:ascii="Times New Roman" w:hAnsi="Times New Roman"/>
                <w:color w:val="000000"/>
                <w:sz w:val="20"/>
                <w:szCs w:val="20"/>
              </w:rPr>
              <w:t>200</w:t>
            </w:r>
          </w:p>
        </w:tc>
      </w:tr>
    </w:tbl>
    <w:p>
      <w:pPr>
        <w:spacing w:line="460" w:lineRule="exact"/>
        <w:ind w:right="880"/>
        <w:rPr>
          <w:rFonts w:hint="eastAsia" w:ascii="Times New Roman" w:hAnsi="Times New Roman"/>
          <w:color w:val="000000"/>
          <w:sz w:val="32"/>
          <w:szCs w:val="32"/>
        </w:rPr>
      </w:pPr>
    </w:p>
    <w:p>
      <w:pPr>
        <w:spacing w:line="460" w:lineRule="exact"/>
        <w:ind w:right="880"/>
        <w:rPr>
          <w:rFonts w:hint="eastAsia" w:ascii="Times New Roman" w:hAnsi="Times New Roman"/>
          <w:color w:val="000000"/>
          <w:sz w:val="32"/>
          <w:szCs w:val="32"/>
        </w:rPr>
      </w:pPr>
    </w:p>
    <w:p>
      <w:pPr>
        <w:rPr>
          <w:rFonts w:hint="eastAsia" w:ascii="Times New Roman" w:hAnsi="Times New Roman"/>
          <w:color w:val="000000"/>
          <w:sz w:val="32"/>
          <w:szCs w:val="32"/>
        </w:rPr>
      </w:pPr>
      <w:r>
        <w:rPr>
          <w:rFonts w:hint="eastAsia" w:ascii="Times New Roman" w:hAnsi="Times New Roman"/>
          <w:color w:val="000000"/>
          <w:sz w:val="32"/>
          <w:szCs w:val="32"/>
        </w:rPr>
        <w:br w:type="page"/>
      </w:r>
    </w:p>
    <w:p>
      <w:pPr>
        <w:spacing w:line="460" w:lineRule="exact"/>
        <w:ind w:right="880"/>
        <w:rPr>
          <w:rFonts w:hint="eastAsia" w:ascii="Times New Roman" w:hAnsi="Times New Roman"/>
          <w:color w:val="000000"/>
          <w:sz w:val="32"/>
          <w:szCs w:val="32"/>
        </w:rPr>
      </w:pPr>
      <w:r>
        <w:rPr>
          <w:rFonts w:hint="eastAsia" w:ascii="楷体" w:hAnsi="楷体" w:eastAsia="楷体" w:cs="楷体_GB2312"/>
          <w:color w:val="000000"/>
          <w:sz w:val="30"/>
          <w:szCs w:val="30"/>
        </w:rPr>
        <w:t>附表3                2020年霍山县重点污染源名单及监督监测项目</w:t>
      </w:r>
    </w:p>
    <w:tbl>
      <w:tblPr>
        <w:tblStyle w:val="17"/>
        <w:tblW w:w="13821" w:type="dxa"/>
        <w:jc w:val="center"/>
        <w:tblLayout w:type="fixed"/>
        <w:tblCellMar>
          <w:top w:w="0" w:type="dxa"/>
          <w:left w:w="108" w:type="dxa"/>
          <w:bottom w:w="0" w:type="dxa"/>
          <w:right w:w="108" w:type="dxa"/>
        </w:tblCellMar>
      </w:tblPr>
      <w:tblGrid>
        <w:gridCol w:w="836"/>
        <w:gridCol w:w="3696"/>
        <w:gridCol w:w="6050"/>
        <w:gridCol w:w="1893"/>
        <w:gridCol w:w="1346"/>
      </w:tblGrid>
      <w:tr>
        <w:tblPrEx>
          <w:tblCellMar>
            <w:top w:w="0" w:type="dxa"/>
            <w:left w:w="108" w:type="dxa"/>
            <w:bottom w:w="0" w:type="dxa"/>
            <w:right w:w="108" w:type="dxa"/>
          </w:tblCellMar>
        </w:tblPrEx>
        <w:trPr>
          <w:trHeight w:val="737" w:hRule="exact"/>
          <w:jc w:val="center"/>
        </w:trPr>
        <w:tc>
          <w:tcPr>
            <w:tcW w:w="83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2"/>
                <w:szCs w:val="24"/>
              </w:rPr>
            </w:pPr>
            <w:r>
              <w:rPr>
                <w:rFonts w:ascii="Courier New" w:hAnsi="Courier New" w:cs="Courier New"/>
                <w:color w:val="000000"/>
                <w:sz w:val="22"/>
                <w:szCs w:val="24"/>
              </w:rPr>
              <w:t>序号</w:t>
            </w:r>
          </w:p>
        </w:tc>
        <w:tc>
          <w:tcPr>
            <w:tcW w:w="369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2"/>
                <w:szCs w:val="24"/>
              </w:rPr>
            </w:pPr>
            <w:r>
              <w:rPr>
                <w:rFonts w:hint="eastAsia" w:ascii="Courier New" w:hAnsi="Courier New" w:cs="Courier New"/>
                <w:color w:val="000000"/>
                <w:sz w:val="22"/>
                <w:szCs w:val="24"/>
              </w:rPr>
              <w:t>企业名称</w:t>
            </w:r>
          </w:p>
        </w:tc>
        <w:tc>
          <w:tcPr>
            <w:tcW w:w="605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2"/>
                <w:szCs w:val="24"/>
              </w:rPr>
            </w:pPr>
            <w:r>
              <w:rPr>
                <w:rFonts w:hint="eastAsia" w:ascii="Courier New" w:hAnsi="Courier New" w:cs="Courier New"/>
                <w:color w:val="000000"/>
                <w:sz w:val="22"/>
                <w:szCs w:val="24"/>
              </w:rPr>
              <w:t>监测项目</w:t>
            </w:r>
          </w:p>
        </w:tc>
        <w:tc>
          <w:tcPr>
            <w:tcW w:w="189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2"/>
                <w:szCs w:val="24"/>
              </w:rPr>
            </w:pPr>
            <w:r>
              <w:rPr>
                <w:rFonts w:hint="eastAsia" w:ascii="Courier New" w:hAnsi="Courier New" w:cs="Courier New"/>
                <w:color w:val="000000"/>
                <w:sz w:val="22"/>
                <w:szCs w:val="24"/>
              </w:rPr>
              <w:t>在线比对项目</w:t>
            </w:r>
          </w:p>
        </w:tc>
        <w:tc>
          <w:tcPr>
            <w:tcW w:w="134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Courier New" w:hAnsi="Courier New" w:cs="Courier New"/>
                <w:color w:val="000000"/>
                <w:sz w:val="22"/>
                <w:szCs w:val="24"/>
              </w:rPr>
            </w:pPr>
            <w:r>
              <w:rPr>
                <w:rFonts w:hint="eastAsia" w:ascii="Courier New" w:hAnsi="Courier New" w:cs="Courier New"/>
                <w:color w:val="000000"/>
                <w:sz w:val="22"/>
                <w:szCs w:val="24"/>
              </w:rPr>
              <w:t>频次</w:t>
            </w:r>
          </w:p>
        </w:tc>
      </w:tr>
      <w:tr>
        <w:tblPrEx>
          <w:tblCellMar>
            <w:top w:w="0" w:type="dxa"/>
            <w:left w:w="108" w:type="dxa"/>
            <w:bottom w:w="0" w:type="dxa"/>
            <w:right w:w="108" w:type="dxa"/>
          </w:tblCellMar>
        </w:tblPrEx>
        <w:trPr>
          <w:trHeight w:val="374" w:hRule="exact"/>
          <w:jc w:val="center"/>
        </w:trPr>
        <w:tc>
          <w:tcPr>
            <w:tcW w:w="83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Courier New" w:hAnsi="Courier New" w:cs="Courier New"/>
                <w:color w:val="000000"/>
                <w:sz w:val="22"/>
                <w:szCs w:val="24"/>
              </w:rPr>
            </w:pPr>
          </w:p>
        </w:tc>
        <w:tc>
          <w:tcPr>
            <w:tcW w:w="369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Courier New" w:hAnsi="Courier New" w:cs="Courier New"/>
                <w:color w:val="000000"/>
                <w:sz w:val="22"/>
                <w:szCs w:val="24"/>
              </w:rPr>
            </w:pPr>
          </w:p>
        </w:tc>
        <w:tc>
          <w:tcPr>
            <w:tcW w:w="6050"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Courier New" w:hAnsi="Courier New" w:cs="Courier New"/>
                <w:color w:val="000000"/>
                <w:sz w:val="22"/>
                <w:szCs w:val="24"/>
              </w:rPr>
            </w:pPr>
          </w:p>
        </w:tc>
        <w:tc>
          <w:tcPr>
            <w:tcW w:w="1893"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Courier New" w:hAnsi="Courier New" w:cs="Courier New"/>
                <w:color w:val="000000"/>
                <w:sz w:val="22"/>
                <w:szCs w:val="24"/>
              </w:rPr>
            </w:pPr>
          </w:p>
        </w:tc>
        <w:tc>
          <w:tcPr>
            <w:tcW w:w="1346"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Courier New" w:hAnsi="Courier New" w:cs="Courier New"/>
                <w:color w:val="000000"/>
                <w:sz w:val="22"/>
                <w:szCs w:val="24"/>
              </w:rPr>
            </w:pPr>
          </w:p>
        </w:tc>
      </w:tr>
      <w:tr>
        <w:tblPrEx>
          <w:tblCellMar>
            <w:top w:w="0" w:type="dxa"/>
            <w:left w:w="108" w:type="dxa"/>
            <w:bottom w:w="0" w:type="dxa"/>
            <w:right w:w="108" w:type="dxa"/>
          </w:tblCellMar>
        </w:tblPrEx>
        <w:trPr>
          <w:trHeight w:val="847" w:hRule="exac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r>
              <w:rPr>
                <w:rFonts w:hint="eastAsia"/>
                <w:color w:val="000000"/>
                <w:sz w:val="22"/>
                <w:szCs w:val="24"/>
              </w:rPr>
              <w:t>1</w:t>
            </w:r>
          </w:p>
        </w:tc>
        <w:tc>
          <w:tcPr>
            <w:tcW w:w="3696" w:type="dxa"/>
            <w:tcBorders>
              <w:top w:val="nil"/>
              <w:left w:val="nil"/>
              <w:bottom w:val="single" w:color="auto" w:sz="4" w:space="0"/>
              <w:right w:val="nil"/>
            </w:tcBorders>
            <w:shd w:val="clear" w:color="auto" w:fill="auto"/>
            <w:noWrap/>
            <w:vAlign w:val="center"/>
          </w:tcPr>
          <w:p>
            <w:pPr>
              <w:jc w:val="center"/>
              <w:rPr>
                <w:rFonts w:ascii="宋体" w:hAnsi="宋体" w:cs="宋体"/>
                <w:color w:val="000000"/>
                <w:sz w:val="22"/>
                <w:szCs w:val="24"/>
              </w:rPr>
            </w:pPr>
            <w:r>
              <w:rPr>
                <w:rFonts w:hint="eastAsia"/>
                <w:color w:val="000000"/>
                <w:sz w:val="22"/>
                <w:szCs w:val="24"/>
              </w:rPr>
              <w:t>安徽汇佳生物科技有限公司</w:t>
            </w:r>
          </w:p>
        </w:tc>
        <w:tc>
          <w:tcPr>
            <w:tcW w:w="605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2"/>
                <w:szCs w:val="24"/>
              </w:rPr>
            </w:pPr>
            <w:r>
              <w:rPr>
                <w:rFonts w:hint="eastAsia"/>
                <w:color w:val="000000"/>
                <w:sz w:val="22"/>
                <w:szCs w:val="24"/>
              </w:rPr>
              <w:t>废水：pH、COD,NH3-N,BOD5,SS、TP、色度、TN</w:t>
            </w:r>
          </w:p>
        </w:tc>
        <w:tc>
          <w:tcPr>
            <w:tcW w:w="1893"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2"/>
                <w:szCs w:val="24"/>
              </w:rPr>
            </w:pPr>
            <w:r>
              <w:rPr>
                <w:rFonts w:hint="eastAsia" w:ascii="Times New Roman" w:hAnsi="Times New Roman"/>
                <w:color w:val="000000"/>
                <w:sz w:val="22"/>
                <w:szCs w:val="24"/>
              </w:rPr>
              <w:t>COD</w:t>
            </w:r>
          </w:p>
        </w:tc>
        <w:tc>
          <w:tcPr>
            <w:tcW w:w="1346"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2"/>
                <w:szCs w:val="24"/>
              </w:rPr>
            </w:pPr>
            <w:r>
              <w:rPr>
                <w:rFonts w:hint="eastAsia" w:ascii="Times New Roman" w:hAnsi="Times New Roman"/>
                <w:color w:val="000000"/>
                <w:sz w:val="22"/>
                <w:szCs w:val="24"/>
              </w:rPr>
              <w:t>1季度1次</w:t>
            </w:r>
          </w:p>
        </w:tc>
      </w:tr>
      <w:tr>
        <w:tblPrEx>
          <w:tblCellMar>
            <w:top w:w="0" w:type="dxa"/>
            <w:left w:w="108" w:type="dxa"/>
            <w:bottom w:w="0" w:type="dxa"/>
            <w:right w:w="108" w:type="dxa"/>
          </w:tblCellMar>
        </w:tblPrEx>
        <w:trPr>
          <w:trHeight w:val="737" w:hRule="exac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r>
              <w:rPr>
                <w:rFonts w:hint="eastAsia"/>
                <w:color w:val="000000"/>
                <w:sz w:val="22"/>
                <w:szCs w:val="24"/>
              </w:rPr>
              <w:t>2</w:t>
            </w:r>
          </w:p>
        </w:tc>
        <w:tc>
          <w:tcPr>
            <w:tcW w:w="3696" w:type="dxa"/>
            <w:tcBorders>
              <w:top w:val="nil"/>
              <w:left w:val="nil"/>
              <w:bottom w:val="single" w:color="auto" w:sz="4" w:space="0"/>
              <w:right w:val="nil"/>
            </w:tcBorders>
            <w:shd w:val="clear" w:color="auto" w:fill="auto"/>
            <w:noWrap/>
            <w:vAlign w:val="center"/>
          </w:tcPr>
          <w:p>
            <w:pPr>
              <w:jc w:val="center"/>
              <w:rPr>
                <w:rFonts w:hint="eastAsia"/>
                <w:color w:val="000000"/>
                <w:sz w:val="22"/>
                <w:szCs w:val="24"/>
              </w:rPr>
            </w:pPr>
            <w:r>
              <w:rPr>
                <w:rFonts w:hint="eastAsia"/>
                <w:color w:val="000000"/>
                <w:sz w:val="22"/>
                <w:szCs w:val="24"/>
              </w:rPr>
              <w:t>霍山县工业污水处理厂</w:t>
            </w:r>
          </w:p>
        </w:tc>
        <w:tc>
          <w:tcPr>
            <w:tcW w:w="605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hint="eastAsia" w:ascii="宋体" w:hAnsi="宋体" w:cs="宋体"/>
                <w:color w:val="000000"/>
                <w:sz w:val="22"/>
                <w:szCs w:val="24"/>
              </w:rPr>
            </w:pPr>
            <w:r>
              <w:rPr>
                <w:rFonts w:hint="eastAsia" w:ascii="宋体" w:hAnsi="宋体" w:cs="宋体"/>
                <w:color w:val="000000"/>
                <w:sz w:val="22"/>
                <w:szCs w:val="24"/>
              </w:rPr>
              <w:t>废水：《城镇污水处理厂污染物排放标准》（GB18918-2002）</w:t>
            </w:r>
          </w:p>
          <w:p>
            <w:pPr>
              <w:jc w:val="center"/>
              <w:rPr>
                <w:rFonts w:ascii="宋体" w:hAnsi="宋体" w:cs="宋体"/>
                <w:color w:val="000000"/>
                <w:sz w:val="22"/>
                <w:szCs w:val="24"/>
              </w:rPr>
            </w:pPr>
            <w:r>
              <w:rPr>
                <w:rFonts w:hint="eastAsia" w:ascii="宋体" w:hAnsi="宋体" w:cs="宋体"/>
                <w:color w:val="000000"/>
                <w:sz w:val="22"/>
                <w:szCs w:val="24"/>
              </w:rPr>
              <w:t>表1和表2共19项及水温</w:t>
            </w:r>
          </w:p>
        </w:tc>
        <w:tc>
          <w:tcPr>
            <w:tcW w:w="1893"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2"/>
                <w:szCs w:val="24"/>
              </w:rPr>
            </w:pPr>
            <w:r>
              <w:rPr>
                <w:rFonts w:hint="eastAsia" w:ascii="宋体" w:hAnsi="宋体" w:cs="宋体"/>
                <w:color w:val="000000"/>
                <w:sz w:val="22"/>
                <w:szCs w:val="24"/>
              </w:rPr>
              <w:t>COD、</w:t>
            </w:r>
            <w:r>
              <w:rPr>
                <w:rFonts w:hint="eastAsia"/>
                <w:color w:val="000000"/>
                <w:sz w:val="22"/>
                <w:szCs w:val="24"/>
              </w:rPr>
              <w:t>NH3-N、TP</w:t>
            </w:r>
          </w:p>
        </w:tc>
        <w:tc>
          <w:tcPr>
            <w:tcW w:w="1346" w:type="dxa"/>
            <w:tcBorders>
              <w:top w:val="nil"/>
              <w:left w:val="nil"/>
              <w:bottom w:val="single" w:color="auto" w:sz="4" w:space="0"/>
              <w:right w:val="single" w:color="auto" w:sz="4" w:space="0"/>
            </w:tcBorders>
            <w:shd w:val="clear" w:color="auto" w:fill="auto"/>
            <w:noWrap w:val="0"/>
            <w:vAlign w:val="center"/>
          </w:tcPr>
          <w:p>
            <w:pPr>
              <w:jc w:val="center"/>
              <w:rPr>
                <w:color w:val="000000"/>
                <w:sz w:val="22"/>
                <w:szCs w:val="24"/>
              </w:rPr>
            </w:pPr>
            <w:r>
              <w:rPr>
                <w:rFonts w:hint="eastAsia" w:ascii="Times New Roman" w:hAnsi="Times New Roman"/>
                <w:color w:val="000000"/>
                <w:sz w:val="22"/>
                <w:szCs w:val="24"/>
              </w:rPr>
              <w:t>1季度1次</w:t>
            </w:r>
          </w:p>
        </w:tc>
      </w:tr>
      <w:tr>
        <w:tblPrEx>
          <w:tblCellMar>
            <w:top w:w="0" w:type="dxa"/>
            <w:left w:w="108" w:type="dxa"/>
            <w:bottom w:w="0" w:type="dxa"/>
            <w:right w:w="108" w:type="dxa"/>
          </w:tblCellMar>
        </w:tblPrEx>
        <w:trPr>
          <w:trHeight w:val="800" w:hRule="exac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r>
              <w:rPr>
                <w:rFonts w:hint="eastAsia"/>
                <w:color w:val="000000"/>
                <w:sz w:val="22"/>
                <w:szCs w:val="24"/>
              </w:rPr>
              <w:t>3</w:t>
            </w:r>
          </w:p>
        </w:tc>
        <w:tc>
          <w:tcPr>
            <w:tcW w:w="3696" w:type="dxa"/>
            <w:tcBorders>
              <w:top w:val="nil"/>
              <w:left w:val="nil"/>
              <w:bottom w:val="single" w:color="auto" w:sz="4" w:space="0"/>
              <w:right w:val="nil"/>
            </w:tcBorders>
            <w:shd w:val="clear" w:color="auto" w:fill="auto"/>
            <w:noWrap/>
            <w:vAlign w:val="center"/>
          </w:tcPr>
          <w:p>
            <w:pPr>
              <w:jc w:val="center"/>
              <w:rPr>
                <w:color w:val="000000"/>
                <w:sz w:val="22"/>
                <w:szCs w:val="24"/>
              </w:rPr>
            </w:pPr>
            <w:r>
              <w:rPr>
                <w:rFonts w:hint="eastAsia"/>
                <w:color w:val="000000"/>
                <w:sz w:val="22"/>
                <w:szCs w:val="24"/>
              </w:rPr>
              <w:t>霍山县污水处理厂</w:t>
            </w:r>
          </w:p>
        </w:tc>
        <w:tc>
          <w:tcPr>
            <w:tcW w:w="6050" w:type="dxa"/>
            <w:tcBorders>
              <w:top w:val="nil"/>
              <w:left w:val="single" w:color="auto" w:sz="4" w:space="0"/>
              <w:bottom w:val="single" w:color="auto" w:sz="4" w:space="0"/>
              <w:right w:val="single" w:color="auto" w:sz="4" w:space="0"/>
            </w:tcBorders>
            <w:shd w:val="clear" w:color="auto" w:fill="auto"/>
            <w:noWrap w:val="0"/>
            <w:vAlign w:val="center"/>
          </w:tcPr>
          <w:p>
            <w:pPr>
              <w:rPr>
                <w:rFonts w:hint="eastAsia" w:ascii="宋体" w:hAnsi="宋体" w:cs="宋体"/>
                <w:color w:val="000000"/>
                <w:sz w:val="22"/>
                <w:szCs w:val="24"/>
              </w:rPr>
            </w:pPr>
            <w:r>
              <w:rPr>
                <w:rFonts w:hint="eastAsia" w:ascii="宋体" w:hAnsi="宋体" w:cs="宋体"/>
                <w:color w:val="000000"/>
                <w:sz w:val="22"/>
                <w:szCs w:val="24"/>
              </w:rPr>
              <w:t>废水：《城镇污水处理厂污染物排放标准》（GB18918-2002）</w:t>
            </w:r>
          </w:p>
          <w:p>
            <w:pPr>
              <w:jc w:val="center"/>
              <w:rPr>
                <w:rFonts w:ascii="宋体" w:hAnsi="宋体" w:cs="宋体"/>
                <w:color w:val="000000"/>
                <w:sz w:val="22"/>
                <w:szCs w:val="24"/>
              </w:rPr>
            </w:pPr>
            <w:r>
              <w:rPr>
                <w:rFonts w:hint="eastAsia" w:ascii="宋体" w:hAnsi="宋体" w:cs="宋体"/>
                <w:color w:val="000000"/>
                <w:sz w:val="22"/>
                <w:szCs w:val="24"/>
              </w:rPr>
              <w:t>表1和表2共19项及水温</w:t>
            </w:r>
          </w:p>
        </w:tc>
        <w:tc>
          <w:tcPr>
            <w:tcW w:w="1893"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2"/>
                <w:szCs w:val="24"/>
              </w:rPr>
            </w:pPr>
            <w:r>
              <w:rPr>
                <w:rFonts w:hint="eastAsia" w:ascii="宋体" w:hAnsi="宋体" w:cs="宋体"/>
                <w:color w:val="000000"/>
                <w:sz w:val="22"/>
                <w:szCs w:val="24"/>
              </w:rPr>
              <w:t>COD、</w:t>
            </w:r>
            <w:r>
              <w:rPr>
                <w:rFonts w:hint="eastAsia"/>
                <w:color w:val="000000"/>
                <w:sz w:val="22"/>
                <w:szCs w:val="24"/>
              </w:rPr>
              <w:t>NH3-N、TP</w:t>
            </w:r>
          </w:p>
        </w:tc>
        <w:tc>
          <w:tcPr>
            <w:tcW w:w="1346" w:type="dxa"/>
            <w:tcBorders>
              <w:top w:val="nil"/>
              <w:left w:val="nil"/>
              <w:bottom w:val="single" w:color="auto" w:sz="4" w:space="0"/>
              <w:right w:val="single" w:color="auto" w:sz="4" w:space="0"/>
            </w:tcBorders>
            <w:shd w:val="clear" w:color="auto" w:fill="auto"/>
            <w:noWrap w:val="0"/>
            <w:vAlign w:val="center"/>
          </w:tcPr>
          <w:p>
            <w:pPr>
              <w:jc w:val="center"/>
              <w:rPr>
                <w:color w:val="000000"/>
                <w:sz w:val="22"/>
                <w:szCs w:val="24"/>
              </w:rPr>
            </w:pPr>
            <w:r>
              <w:rPr>
                <w:rFonts w:hint="eastAsia" w:ascii="Times New Roman" w:hAnsi="Times New Roman"/>
                <w:color w:val="000000"/>
                <w:sz w:val="22"/>
                <w:szCs w:val="24"/>
              </w:rPr>
              <w:t>1季度1次</w:t>
            </w:r>
          </w:p>
        </w:tc>
      </w:tr>
      <w:tr>
        <w:tblPrEx>
          <w:tblCellMar>
            <w:top w:w="0" w:type="dxa"/>
            <w:left w:w="108" w:type="dxa"/>
            <w:bottom w:w="0" w:type="dxa"/>
            <w:right w:w="108" w:type="dxa"/>
          </w:tblCellMar>
        </w:tblPrEx>
        <w:trPr>
          <w:trHeight w:val="737" w:hRule="exac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r>
              <w:rPr>
                <w:rFonts w:hint="eastAsia"/>
                <w:color w:val="000000"/>
                <w:sz w:val="22"/>
                <w:szCs w:val="24"/>
              </w:rPr>
              <w:t>4</w:t>
            </w:r>
          </w:p>
        </w:tc>
        <w:tc>
          <w:tcPr>
            <w:tcW w:w="3696" w:type="dxa"/>
            <w:tcBorders>
              <w:top w:val="nil"/>
              <w:left w:val="nil"/>
              <w:bottom w:val="single" w:color="auto" w:sz="4" w:space="0"/>
              <w:right w:val="nil"/>
            </w:tcBorders>
            <w:shd w:val="clear" w:color="auto" w:fill="auto"/>
            <w:noWrap/>
            <w:vAlign w:val="center"/>
          </w:tcPr>
          <w:p>
            <w:pPr>
              <w:jc w:val="center"/>
              <w:rPr>
                <w:rFonts w:hint="eastAsia"/>
                <w:color w:val="000000"/>
                <w:sz w:val="22"/>
                <w:szCs w:val="24"/>
              </w:rPr>
            </w:pPr>
            <w:r>
              <w:rPr>
                <w:rFonts w:hint="eastAsia"/>
                <w:color w:val="000000"/>
                <w:sz w:val="22"/>
                <w:szCs w:val="24"/>
              </w:rPr>
              <w:t>安徽迎驾贡酒股份有限公司</w:t>
            </w:r>
          </w:p>
          <w:p>
            <w:pPr>
              <w:jc w:val="center"/>
              <w:rPr>
                <w:rFonts w:hint="eastAsia"/>
                <w:color w:val="000000"/>
                <w:sz w:val="22"/>
                <w:szCs w:val="24"/>
              </w:rPr>
            </w:pPr>
            <w:r>
              <w:rPr>
                <w:rFonts w:hint="eastAsia"/>
                <w:color w:val="000000"/>
                <w:sz w:val="22"/>
                <w:szCs w:val="24"/>
              </w:rPr>
              <w:t>曲酒分公司</w:t>
            </w:r>
          </w:p>
        </w:tc>
        <w:tc>
          <w:tcPr>
            <w:tcW w:w="605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2"/>
                <w:szCs w:val="24"/>
              </w:rPr>
            </w:pPr>
            <w:r>
              <w:rPr>
                <w:rFonts w:hint="eastAsia" w:ascii="宋体" w:hAnsi="宋体" w:cs="宋体"/>
                <w:color w:val="000000"/>
                <w:sz w:val="22"/>
                <w:szCs w:val="24"/>
              </w:rPr>
              <w:t>废水：pH、COD,NH3-N,BOD5,SS、TP、色度、TN、流量</w:t>
            </w:r>
          </w:p>
        </w:tc>
        <w:tc>
          <w:tcPr>
            <w:tcW w:w="1893"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2"/>
                <w:szCs w:val="24"/>
              </w:rPr>
            </w:pPr>
            <w:r>
              <w:rPr>
                <w:rFonts w:hint="eastAsia" w:ascii="宋体" w:hAnsi="宋体" w:cs="宋体"/>
                <w:color w:val="000000"/>
                <w:sz w:val="22"/>
                <w:szCs w:val="24"/>
              </w:rPr>
              <w:t>COD、</w:t>
            </w:r>
            <w:r>
              <w:rPr>
                <w:rFonts w:hint="eastAsia"/>
                <w:color w:val="000000"/>
                <w:sz w:val="22"/>
                <w:szCs w:val="24"/>
              </w:rPr>
              <w:t>NH3-N</w:t>
            </w:r>
          </w:p>
        </w:tc>
        <w:tc>
          <w:tcPr>
            <w:tcW w:w="1346" w:type="dxa"/>
            <w:tcBorders>
              <w:top w:val="nil"/>
              <w:left w:val="nil"/>
              <w:bottom w:val="single" w:color="auto" w:sz="4" w:space="0"/>
              <w:right w:val="single" w:color="auto" w:sz="4" w:space="0"/>
            </w:tcBorders>
            <w:shd w:val="clear" w:color="auto" w:fill="auto"/>
            <w:noWrap w:val="0"/>
            <w:vAlign w:val="center"/>
          </w:tcPr>
          <w:p>
            <w:pPr>
              <w:jc w:val="center"/>
              <w:rPr>
                <w:color w:val="000000"/>
                <w:sz w:val="22"/>
                <w:szCs w:val="24"/>
              </w:rPr>
            </w:pPr>
            <w:r>
              <w:rPr>
                <w:rFonts w:hint="eastAsia" w:ascii="Times New Roman" w:hAnsi="Times New Roman"/>
                <w:color w:val="000000"/>
                <w:sz w:val="22"/>
                <w:szCs w:val="24"/>
              </w:rPr>
              <w:t>1季度1次</w:t>
            </w:r>
          </w:p>
        </w:tc>
      </w:tr>
      <w:tr>
        <w:tblPrEx>
          <w:tblCellMar>
            <w:top w:w="0" w:type="dxa"/>
            <w:left w:w="108" w:type="dxa"/>
            <w:bottom w:w="0" w:type="dxa"/>
            <w:right w:w="108" w:type="dxa"/>
          </w:tblCellMar>
        </w:tblPrEx>
        <w:trPr>
          <w:trHeight w:val="737" w:hRule="exac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r>
              <w:rPr>
                <w:rFonts w:hint="eastAsia"/>
                <w:color w:val="000000"/>
                <w:sz w:val="22"/>
                <w:szCs w:val="24"/>
              </w:rPr>
              <w:t>5</w:t>
            </w:r>
          </w:p>
        </w:tc>
        <w:tc>
          <w:tcPr>
            <w:tcW w:w="3696" w:type="dxa"/>
            <w:tcBorders>
              <w:top w:val="nil"/>
              <w:left w:val="nil"/>
              <w:bottom w:val="single" w:color="auto" w:sz="4" w:space="0"/>
              <w:right w:val="nil"/>
            </w:tcBorders>
            <w:shd w:val="clear" w:color="auto" w:fill="auto"/>
            <w:noWrap/>
            <w:vAlign w:val="center"/>
          </w:tcPr>
          <w:p>
            <w:pPr>
              <w:jc w:val="center"/>
              <w:rPr>
                <w:rFonts w:hint="eastAsia"/>
                <w:color w:val="000000"/>
                <w:sz w:val="22"/>
                <w:szCs w:val="24"/>
              </w:rPr>
            </w:pPr>
            <w:r>
              <w:rPr>
                <w:rFonts w:hint="eastAsia"/>
                <w:color w:val="000000"/>
                <w:sz w:val="22"/>
                <w:szCs w:val="24"/>
              </w:rPr>
              <w:t>应流集团</w:t>
            </w:r>
          </w:p>
        </w:tc>
        <w:tc>
          <w:tcPr>
            <w:tcW w:w="605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2"/>
                <w:szCs w:val="24"/>
              </w:rPr>
            </w:pPr>
            <w:r>
              <w:rPr>
                <w:rFonts w:hint="eastAsia"/>
                <w:color w:val="000000"/>
                <w:sz w:val="22"/>
                <w:szCs w:val="24"/>
              </w:rPr>
              <w:t>废水：cod、氨氮、pH、悬浮物、色度</w:t>
            </w:r>
          </w:p>
        </w:tc>
        <w:tc>
          <w:tcPr>
            <w:tcW w:w="1893" w:type="dxa"/>
            <w:tcBorders>
              <w:top w:val="nil"/>
              <w:left w:val="nil"/>
              <w:bottom w:val="single" w:color="auto" w:sz="4" w:space="0"/>
              <w:right w:val="single" w:color="auto" w:sz="4" w:space="0"/>
            </w:tcBorders>
            <w:shd w:val="clear" w:color="auto" w:fill="auto"/>
            <w:noWrap w:val="0"/>
            <w:vAlign w:val="center"/>
          </w:tcPr>
          <w:p>
            <w:pPr>
              <w:jc w:val="center"/>
              <w:rPr>
                <w:rFonts w:ascii="宋体" w:hAnsi="宋体" w:cs="宋体"/>
                <w:color w:val="000000"/>
                <w:sz w:val="22"/>
                <w:szCs w:val="24"/>
              </w:rPr>
            </w:pPr>
            <w:r>
              <w:rPr>
                <w:rFonts w:hint="eastAsia" w:ascii="宋体" w:hAnsi="宋体" w:cs="宋体"/>
                <w:color w:val="000000"/>
                <w:sz w:val="22"/>
                <w:szCs w:val="24"/>
              </w:rPr>
              <w:t>COD、</w:t>
            </w:r>
            <w:r>
              <w:rPr>
                <w:rFonts w:hint="eastAsia"/>
                <w:color w:val="000000"/>
                <w:sz w:val="22"/>
                <w:szCs w:val="24"/>
              </w:rPr>
              <w:t>NH3-N</w:t>
            </w:r>
          </w:p>
        </w:tc>
        <w:tc>
          <w:tcPr>
            <w:tcW w:w="1346" w:type="dxa"/>
            <w:tcBorders>
              <w:top w:val="nil"/>
              <w:left w:val="nil"/>
              <w:bottom w:val="single" w:color="auto" w:sz="4" w:space="0"/>
              <w:right w:val="single" w:color="auto" w:sz="4" w:space="0"/>
            </w:tcBorders>
            <w:shd w:val="clear" w:color="auto" w:fill="auto"/>
            <w:noWrap w:val="0"/>
            <w:vAlign w:val="center"/>
          </w:tcPr>
          <w:p>
            <w:pPr>
              <w:jc w:val="center"/>
              <w:rPr>
                <w:color w:val="000000"/>
                <w:sz w:val="22"/>
                <w:szCs w:val="24"/>
              </w:rPr>
            </w:pPr>
            <w:r>
              <w:rPr>
                <w:rFonts w:hint="eastAsia" w:ascii="Times New Roman" w:hAnsi="Times New Roman"/>
                <w:color w:val="000000"/>
                <w:sz w:val="22"/>
                <w:szCs w:val="24"/>
              </w:rPr>
              <w:t>1季度1次</w:t>
            </w:r>
          </w:p>
        </w:tc>
      </w:tr>
      <w:tr>
        <w:tblPrEx>
          <w:tblCellMar>
            <w:top w:w="0" w:type="dxa"/>
            <w:left w:w="108" w:type="dxa"/>
            <w:bottom w:w="0" w:type="dxa"/>
            <w:right w:w="108" w:type="dxa"/>
          </w:tblCellMar>
        </w:tblPrEx>
        <w:trPr>
          <w:trHeight w:val="737" w:hRule="exac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r>
              <w:rPr>
                <w:rFonts w:hint="eastAsia"/>
                <w:color w:val="000000"/>
                <w:sz w:val="22"/>
                <w:szCs w:val="24"/>
              </w:rPr>
              <w:t>6</w:t>
            </w:r>
          </w:p>
        </w:tc>
        <w:tc>
          <w:tcPr>
            <w:tcW w:w="3696" w:type="dxa"/>
            <w:tcBorders>
              <w:top w:val="nil"/>
              <w:left w:val="nil"/>
              <w:bottom w:val="single" w:color="auto" w:sz="4" w:space="0"/>
              <w:right w:val="nil"/>
            </w:tcBorders>
            <w:shd w:val="clear" w:color="auto" w:fill="auto"/>
            <w:noWrap/>
            <w:vAlign w:val="center"/>
          </w:tcPr>
          <w:p>
            <w:pPr>
              <w:jc w:val="center"/>
              <w:rPr>
                <w:rFonts w:hint="eastAsia"/>
                <w:color w:val="000000"/>
                <w:sz w:val="22"/>
                <w:szCs w:val="24"/>
              </w:rPr>
            </w:pPr>
            <w:r>
              <w:rPr>
                <w:rFonts w:hint="eastAsia"/>
                <w:color w:val="000000"/>
                <w:sz w:val="22"/>
                <w:szCs w:val="24"/>
              </w:rPr>
              <w:t>世林集团</w:t>
            </w:r>
          </w:p>
        </w:tc>
        <w:tc>
          <w:tcPr>
            <w:tcW w:w="6050" w:type="dxa"/>
            <w:tcBorders>
              <w:top w:val="nil"/>
              <w:left w:val="single" w:color="auto" w:sz="4" w:space="0"/>
              <w:bottom w:val="single" w:color="auto" w:sz="4" w:space="0"/>
              <w:right w:val="single" w:color="auto" w:sz="4" w:space="0"/>
            </w:tcBorders>
            <w:shd w:val="clear" w:color="auto" w:fill="auto"/>
            <w:noWrap w:val="0"/>
            <w:vAlign w:val="center"/>
          </w:tcPr>
          <w:p>
            <w:pPr>
              <w:jc w:val="left"/>
              <w:rPr>
                <w:rFonts w:hint="eastAsia"/>
                <w:color w:val="000000"/>
                <w:sz w:val="22"/>
                <w:szCs w:val="24"/>
              </w:rPr>
            </w:pPr>
            <w:r>
              <w:rPr>
                <w:rFonts w:hint="eastAsia"/>
                <w:color w:val="000000"/>
                <w:sz w:val="22"/>
                <w:szCs w:val="24"/>
              </w:rPr>
              <w:t>废水：pH、cod、氨氮、氟化物，色度，悬浮物、流量</w:t>
            </w:r>
          </w:p>
          <w:p>
            <w:pPr>
              <w:jc w:val="left"/>
              <w:rPr>
                <w:rFonts w:ascii="宋体" w:hAnsi="宋体" w:cs="宋体"/>
                <w:color w:val="000000"/>
                <w:sz w:val="22"/>
                <w:szCs w:val="24"/>
              </w:rPr>
            </w:pPr>
            <w:r>
              <w:rPr>
                <w:rFonts w:hint="eastAsia"/>
                <w:color w:val="000000"/>
                <w:sz w:val="22"/>
                <w:szCs w:val="24"/>
              </w:rPr>
              <w:t>废气：颗粒物,氮氧化物,烟气黑度,二氧化硫,</w:t>
            </w:r>
          </w:p>
        </w:tc>
        <w:tc>
          <w:tcPr>
            <w:tcW w:w="1893"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2"/>
                <w:szCs w:val="24"/>
              </w:rPr>
            </w:pPr>
            <w:r>
              <w:rPr>
                <w:rFonts w:hint="eastAsia" w:ascii="Times New Roman" w:hAnsi="Times New Roman"/>
                <w:color w:val="000000"/>
                <w:sz w:val="22"/>
                <w:szCs w:val="24"/>
              </w:rPr>
              <w:t>/</w:t>
            </w:r>
          </w:p>
        </w:tc>
        <w:tc>
          <w:tcPr>
            <w:tcW w:w="1346" w:type="dxa"/>
            <w:tcBorders>
              <w:top w:val="nil"/>
              <w:left w:val="nil"/>
              <w:bottom w:val="single" w:color="auto" w:sz="4" w:space="0"/>
              <w:right w:val="single" w:color="auto" w:sz="4" w:space="0"/>
            </w:tcBorders>
            <w:shd w:val="clear" w:color="auto" w:fill="auto"/>
            <w:noWrap w:val="0"/>
            <w:vAlign w:val="center"/>
          </w:tcPr>
          <w:p>
            <w:pPr>
              <w:jc w:val="center"/>
              <w:rPr>
                <w:color w:val="000000"/>
                <w:sz w:val="22"/>
                <w:szCs w:val="24"/>
              </w:rPr>
            </w:pPr>
            <w:r>
              <w:rPr>
                <w:rFonts w:hint="eastAsia" w:ascii="Times New Roman" w:hAnsi="Times New Roman"/>
                <w:color w:val="000000"/>
                <w:sz w:val="22"/>
                <w:szCs w:val="24"/>
              </w:rPr>
              <w:t>1季度1次</w:t>
            </w:r>
          </w:p>
        </w:tc>
      </w:tr>
      <w:tr>
        <w:tblPrEx>
          <w:tblCellMar>
            <w:top w:w="0" w:type="dxa"/>
            <w:left w:w="108" w:type="dxa"/>
            <w:bottom w:w="0" w:type="dxa"/>
            <w:right w:w="108" w:type="dxa"/>
          </w:tblCellMar>
        </w:tblPrEx>
        <w:trPr>
          <w:trHeight w:val="737" w:hRule="exac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r>
              <w:rPr>
                <w:rFonts w:hint="eastAsia"/>
                <w:color w:val="000000"/>
                <w:sz w:val="22"/>
                <w:szCs w:val="24"/>
              </w:rPr>
              <w:t>7</w:t>
            </w:r>
          </w:p>
        </w:tc>
        <w:tc>
          <w:tcPr>
            <w:tcW w:w="3696" w:type="dxa"/>
            <w:tcBorders>
              <w:top w:val="nil"/>
              <w:left w:val="nil"/>
              <w:bottom w:val="single" w:color="auto" w:sz="4" w:space="0"/>
              <w:right w:val="nil"/>
            </w:tcBorders>
            <w:shd w:val="clear" w:color="auto" w:fill="auto"/>
            <w:noWrap/>
            <w:vAlign w:val="center"/>
          </w:tcPr>
          <w:p>
            <w:pPr>
              <w:jc w:val="center"/>
              <w:rPr>
                <w:color w:val="000000"/>
                <w:sz w:val="22"/>
                <w:szCs w:val="24"/>
              </w:rPr>
            </w:pPr>
            <w:r>
              <w:rPr>
                <w:rFonts w:hint="eastAsia"/>
                <w:color w:val="000000"/>
                <w:sz w:val="22"/>
                <w:szCs w:val="24"/>
              </w:rPr>
              <w:t>溢彩玻璃</w:t>
            </w:r>
          </w:p>
        </w:tc>
        <w:tc>
          <w:tcPr>
            <w:tcW w:w="6050" w:type="dxa"/>
            <w:tcBorders>
              <w:top w:val="nil"/>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2"/>
                <w:szCs w:val="24"/>
              </w:rPr>
            </w:pPr>
            <w:r>
              <w:rPr>
                <w:rFonts w:hint="eastAsia"/>
                <w:color w:val="000000"/>
                <w:sz w:val="22"/>
                <w:szCs w:val="24"/>
              </w:rPr>
              <w:t>废气：颗粒物,氮氧化物,烟气黑度,二氧化硫,</w:t>
            </w:r>
          </w:p>
        </w:tc>
        <w:tc>
          <w:tcPr>
            <w:tcW w:w="1893" w:type="dxa"/>
            <w:tcBorders>
              <w:top w:val="nil"/>
              <w:left w:val="nil"/>
              <w:bottom w:val="single" w:color="auto" w:sz="4" w:space="0"/>
              <w:right w:val="single" w:color="auto" w:sz="4" w:space="0"/>
            </w:tcBorders>
            <w:shd w:val="clear" w:color="auto" w:fill="auto"/>
            <w:noWrap w:val="0"/>
            <w:vAlign w:val="center"/>
          </w:tcPr>
          <w:p>
            <w:pPr>
              <w:jc w:val="center"/>
              <w:rPr>
                <w:rFonts w:ascii="Times New Roman" w:hAnsi="Times New Roman"/>
                <w:color w:val="000000"/>
                <w:sz w:val="22"/>
                <w:szCs w:val="24"/>
              </w:rPr>
            </w:pPr>
            <w:r>
              <w:rPr>
                <w:rFonts w:hint="eastAsia" w:ascii="Times New Roman" w:hAnsi="Times New Roman"/>
                <w:color w:val="000000"/>
                <w:sz w:val="22"/>
                <w:szCs w:val="24"/>
              </w:rPr>
              <w:t>/</w:t>
            </w:r>
          </w:p>
        </w:tc>
        <w:tc>
          <w:tcPr>
            <w:tcW w:w="1346" w:type="dxa"/>
            <w:tcBorders>
              <w:top w:val="nil"/>
              <w:left w:val="nil"/>
              <w:bottom w:val="single" w:color="auto" w:sz="4" w:space="0"/>
              <w:right w:val="single" w:color="auto" w:sz="4" w:space="0"/>
            </w:tcBorders>
            <w:shd w:val="clear" w:color="auto" w:fill="auto"/>
            <w:noWrap w:val="0"/>
            <w:vAlign w:val="center"/>
          </w:tcPr>
          <w:p>
            <w:pPr>
              <w:jc w:val="center"/>
              <w:rPr>
                <w:color w:val="000000"/>
                <w:sz w:val="22"/>
                <w:szCs w:val="24"/>
              </w:rPr>
            </w:pPr>
            <w:r>
              <w:rPr>
                <w:rFonts w:hint="eastAsia" w:ascii="Times New Roman" w:hAnsi="Times New Roman"/>
                <w:color w:val="000000"/>
                <w:sz w:val="22"/>
                <w:szCs w:val="24"/>
              </w:rPr>
              <w:t>1季度1次</w:t>
            </w:r>
          </w:p>
        </w:tc>
      </w:tr>
      <w:tr>
        <w:tblPrEx>
          <w:tblCellMar>
            <w:top w:w="0" w:type="dxa"/>
            <w:left w:w="108" w:type="dxa"/>
            <w:bottom w:w="0" w:type="dxa"/>
            <w:right w:w="108" w:type="dxa"/>
          </w:tblCellMar>
        </w:tblPrEx>
        <w:trPr>
          <w:trHeight w:val="737" w:hRule="exact"/>
          <w:jc w:val="center"/>
        </w:trPr>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r>
              <w:rPr>
                <w:rFonts w:hint="eastAsia"/>
                <w:color w:val="000000"/>
                <w:sz w:val="22"/>
                <w:szCs w:val="24"/>
              </w:rPr>
              <w:t>8</w:t>
            </w:r>
          </w:p>
        </w:tc>
        <w:tc>
          <w:tcPr>
            <w:tcW w:w="369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sz w:val="22"/>
                <w:szCs w:val="24"/>
              </w:rPr>
            </w:pPr>
            <w:r>
              <w:rPr>
                <w:rFonts w:hint="eastAsia"/>
                <w:color w:val="000000"/>
                <w:sz w:val="22"/>
                <w:szCs w:val="24"/>
              </w:rPr>
              <w:t>霍山县凯迪绿色能源开发有限公司</w:t>
            </w:r>
          </w:p>
        </w:tc>
        <w:tc>
          <w:tcPr>
            <w:tcW w:w="605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宋体" w:hAnsi="宋体" w:cs="宋体"/>
                <w:color w:val="000000"/>
                <w:sz w:val="22"/>
                <w:szCs w:val="24"/>
              </w:rPr>
            </w:pPr>
            <w:r>
              <w:rPr>
                <w:rFonts w:hint="eastAsia" w:ascii="宋体" w:hAnsi="宋体" w:cs="宋体"/>
                <w:color w:val="000000"/>
                <w:sz w:val="22"/>
                <w:szCs w:val="24"/>
              </w:rPr>
              <w:t>废气：烟尘,SO2,NOx,林格曼黑度</w:t>
            </w:r>
          </w:p>
        </w:tc>
        <w:tc>
          <w:tcPr>
            <w:tcW w:w="189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ascii="Times New Roman" w:hAnsi="Times New Roman"/>
                <w:color w:val="000000"/>
                <w:sz w:val="22"/>
                <w:szCs w:val="24"/>
              </w:rPr>
            </w:pPr>
            <w:r>
              <w:rPr>
                <w:rFonts w:hint="eastAsia" w:ascii="Times New Roman" w:hAnsi="Times New Roman"/>
                <w:color w:val="000000"/>
                <w:sz w:val="22"/>
                <w:szCs w:val="24"/>
              </w:rPr>
              <w:t>/</w:t>
            </w:r>
          </w:p>
        </w:tc>
        <w:tc>
          <w:tcPr>
            <w:tcW w:w="134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color w:val="000000"/>
                <w:sz w:val="22"/>
                <w:szCs w:val="24"/>
              </w:rPr>
            </w:pPr>
            <w:r>
              <w:rPr>
                <w:rFonts w:hint="eastAsia" w:ascii="Times New Roman" w:hAnsi="Times New Roman"/>
                <w:color w:val="000000"/>
                <w:sz w:val="22"/>
                <w:szCs w:val="24"/>
              </w:rPr>
              <w:t>1季度1次</w:t>
            </w:r>
          </w:p>
        </w:tc>
      </w:tr>
    </w:tbl>
    <w:p>
      <w:pPr>
        <w:rPr>
          <w:rFonts w:hint="eastAsia"/>
          <w:color w:val="000000"/>
        </w:rPr>
      </w:pPr>
    </w:p>
    <w:p>
      <w:pPr>
        <w:rPr>
          <w:rFonts w:hint="eastAsia"/>
          <w:color w:val="000000"/>
        </w:rPr>
      </w:pPr>
      <w:r>
        <w:rPr>
          <w:rFonts w:hint="eastAsia"/>
          <w:color w:val="000000"/>
        </w:rPr>
        <w:br w:type="page"/>
      </w:r>
    </w:p>
    <w:p>
      <w:pPr>
        <w:spacing w:line="460" w:lineRule="exact"/>
        <w:ind w:right="880"/>
        <w:rPr>
          <w:rFonts w:hint="eastAsia" w:ascii="楷体" w:hAnsi="楷体" w:eastAsia="楷体" w:cs="楷体_GB2312"/>
          <w:color w:val="000000"/>
          <w:sz w:val="30"/>
          <w:szCs w:val="30"/>
        </w:rPr>
      </w:pPr>
      <w:r>
        <w:rPr>
          <w:rFonts w:hint="eastAsia" w:ascii="楷体" w:hAnsi="楷体" w:eastAsia="楷体" w:cs="楷体_GB2312"/>
          <w:color w:val="000000"/>
          <w:sz w:val="30"/>
          <w:szCs w:val="30"/>
        </w:rPr>
        <w:t>附表4                2020年霍山县排污许可证已发证企业名单及监督监测项目</w:t>
      </w:r>
    </w:p>
    <w:tbl>
      <w:tblPr>
        <w:tblStyle w:val="17"/>
        <w:tblW w:w="13623" w:type="dxa"/>
        <w:tblInd w:w="93" w:type="dxa"/>
        <w:tblLayout w:type="fixed"/>
        <w:tblCellMar>
          <w:top w:w="0" w:type="dxa"/>
          <w:left w:w="108" w:type="dxa"/>
          <w:bottom w:w="0" w:type="dxa"/>
          <w:right w:w="108" w:type="dxa"/>
        </w:tblCellMar>
      </w:tblPr>
      <w:tblGrid>
        <w:gridCol w:w="876"/>
        <w:gridCol w:w="2541"/>
        <w:gridCol w:w="2268"/>
        <w:gridCol w:w="4253"/>
        <w:gridCol w:w="3685"/>
      </w:tblGrid>
      <w:tr>
        <w:tblPrEx>
          <w:tblCellMar>
            <w:top w:w="0" w:type="dxa"/>
            <w:left w:w="108" w:type="dxa"/>
            <w:bottom w:w="0" w:type="dxa"/>
            <w:right w:w="108" w:type="dxa"/>
          </w:tblCellMar>
        </w:tblPrEx>
        <w:trPr>
          <w:trHeight w:val="645" w:hRule="atLeast"/>
        </w:trPr>
        <w:tc>
          <w:tcPr>
            <w:tcW w:w="876"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54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企业名称</w:t>
            </w:r>
          </w:p>
        </w:tc>
        <w:tc>
          <w:tcPr>
            <w:tcW w:w="226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地址</w:t>
            </w:r>
          </w:p>
        </w:tc>
        <w:tc>
          <w:tcPr>
            <w:tcW w:w="7938" w:type="dxa"/>
            <w:gridSpan w:val="2"/>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监督监测项目</w:t>
            </w:r>
          </w:p>
        </w:tc>
      </w:tr>
      <w:tr>
        <w:tblPrEx>
          <w:tblCellMar>
            <w:top w:w="0" w:type="dxa"/>
            <w:left w:w="108" w:type="dxa"/>
            <w:bottom w:w="0" w:type="dxa"/>
            <w:right w:w="108" w:type="dxa"/>
          </w:tblCellMar>
        </w:tblPrEx>
        <w:trPr>
          <w:trHeight w:val="510" w:hRule="atLeast"/>
        </w:trPr>
        <w:tc>
          <w:tcPr>
            <w:tcW w:w="87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254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226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废气</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废水</w:t>
            </w:r>
          </w:p>
        </w:tc>
      </w:tr>
      <w:tr>
        <w:tblPrEx>
          <w:tblCellMar>
            <w:top w:w="0" w:type="dxa"/>
            <w:left w:w="108" w:type="dxa"/>
            <w:bottom w:w="0" w:type="dxa"/>
            <w:right w:w="108" w:type="dxa"/>
          </w:tblCellMar>
        </w:tblPrEx>
        <w:trPr>
          <w:trHeight w:val="900" w:hRule="atLeast"/>
        </w:trPr>
        <w:tc>
          <w:tcPr>
            <w:tcW w:w="87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c>
          <w:tcPr>
            <w:tcW w:w="254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霍山汇能汽车零部件</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制造有限公司</w:t>
            </w:r>
          </w:p>
        </w:tc>
        <w:tc>
          <w:tcPr>
            <w:tcW w:w="226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霍山县经济开发区</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非甲烷总烃</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COD,NH3-N,BOD5,SS、pH</w:t>
            </w:r>
          </w:p>
        </w:tc>
      </w:tr>
      <w:tr>
        <w:tblPrEx>
          <w:tblCellMar>
            <w:top w:w="0" w:type="dxa"/>
            <w:left w:w="108" w:type="dxa"/>
            <w:bottom w:w="0" w:type="dxa"/>
            <w:right w:w="108" w:type="dxa"/>
          </w:tblCellMar>
        </w:tblPrEx>
        <w:trPr>
          <w:trHeight w:val="780"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安徽路安汽车零部件</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有限公司</w:t>
            </w:r>
          </w:p>
        </w:tc>
        <w:tc>
          <w:tcPr>
            <w:tcW w:w="226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霍山县经济开发区</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颗粒物,甲醇,非甲烷总烃，3个排气筒</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r>
      <w:tr>
        <w:tblPrEx>
          <w:tblCellMar>
            <w:top w:w="0" w:type="dxa"/>
            <w:left w:w="108" w:type="dxa"/>
            <w:bottom w:w="0" w:type="dxa"/>
            <w:right w:w="108" w:type="dxa"/>
          </w:tblCellMar>
        </w:tblPrEx>
        <w:trPr>
          <w:trHeight w:val="990"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安徽世强机械制造</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有限公司</w:t>
            </w:r>
          </w:p>
        </w:tc>
        <w:tc>
          <w:tcPr>
            <w:tcW w:w="226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霍山县经济开发区丰汇车业内</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非甲烷总烃</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COD,NH3-N,BOD5,SS、pH、石油类</w:t>
            </w:r>
          </w:p>
        </w:tc>
      </w:tr>
      <w:tr>
        <w:tblPrEx>
          <w:tblCellMar>
            <w:top w:w="0" w:type="dxa"/>
            <w:left w:w="108" w:type="dxa"/>
            <w:bottom w:w="0" w:type="dxa"/>
            <w:right w:w="108" w:type="dxa"/>
          </w:tblCellMar>
        </w:tblPrEx>
        <w:trPr>
          <w:trHeight w:val="945"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安徽鑫晨机械配件</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有限公司</w:t>
            </w:r>
          </w:p>
        </w:tc>
        <w:tc>
          <w:tcPr>
            <w:tcW w:w="226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经三南路与迎宾大道交叉口</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非甲烷总烃，颗粒物</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COD,NH3-N,BOD5,SS、pH、石油类</w:t>
            </w:r>
          </w:p>
        </w:tc>
      </w:tr>
      <w:tr>
        <w:tblPrEx>
          <w:tblCellMar>
            <w:top w:w="0" w:type="dxa"/>
            <w:left w:w="108" w:type="dxa"/>
            <w:bottom w:w="0" w:type="dxa"/>
            <w:right w:w="108" w:type="dxa"/>
          </w:tblCellMar>
        </w:tblPrEx>
        <w:trPr>
          <w:trHeight w:val="951"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安徽安力肽生物科技</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有限公司</w:t>
            </w:r>
          </w:p>
        </w:tc>
        <w:tc>
          <w:tcPr>
            <w:tcW w:w="226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霍山经济开发区</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颗粒物 ,二氧化硫,烟气黑度,氮氧化物,非甲烷总烃,</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COD,NH3-N,BOD5,SS、pH、磷酸盐</w:t>
            </w:r>
          </w:p>
        </w:tc>
      </w:tr>
      <w:tr>
        <w:tblPrEx>
          <w:tblCellMar>
            <w:top w:w="0" w:type="dxa"/>
            <w:left w:w="108" w:type="dxa"/>
            <w:bottom w:w="0" w:type="dxa"/>
            <w:right w:w="108" w:type="dxa"/>
          </w:tblCellMar>
        </w:tblPrEx>
        <w:trPr>
          <w:trHeight w:val="1170"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华润电力（霍山）有限公司</w:t>
            </w:r>
          </w:p>
        </w:tc>
        <w:tc>
          <w:tcPr>
            <w:tcW w:w="226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霍山经济开发区</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二氧化硫,烟气黑度,颗粒物,氮氧化物</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COD,NH3-N,BOD5,SS、pH、TP、动植物油</w:t>
            </w:r>
          </w:p>
        </w:tc>
      </w:tr>
      <w:tr>
        <w:tblPrEx>
          <w:tblCellMar>
            <w:top w:w="0" w:type="dxa"/>
            <w:left w:w="108" w:type="dxa"/>
            <w:bottom w:w="0" w:type="dxa"/>
            <w:right w:w="108" w:type="dxa"/>
          </w:tblCellMar>
        </w:tblPrEx>
        <w:trPr>
          <w:trHeight w:val="1260" w:hRule="atLeast"/>
        </w:trPr>
        <w:tc>
          <w:tcPr>
            <w:tcW w:w="87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w:t>
            </w:r>
          </w:p>
        </w:tc>
        <w:tc>
          <w:tcPr>
            <w:tcW w:w="254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安徽嘉康食品有限公司</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霍山县经济开发区世林路</w:t>
            </w:r>
          </w:p>
        </w:tc>
        <w:tc>
          <w:tcPr>
            <w:tcW w:w="42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c>
          <w:tcPr>
            <w:tcW w:w="36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pH、COD,NH3-N,BOD5,SS、TP、动植物油</w:t>
            </w:r>
          </w:p>
        </w:tc>
      </w:tr>
      <w:tr>
        <w:tblPrEx>
          <w:tblCellMar>
            <w:top w:w="0" w:type="dxa"/>
            <w:left w:w="108" w:type="dxa"/>
            <w:bottom w:w="0" w:type="dxa"/>
            <w:right w:w="108" w:type="dxa"/>
          </w:tblCellMar>
        </w:tblPrEx>
        <w:trPr>
          <w:trHeight w:val="840" w:hRule="atLeast"/>
        </w:trPr>
        <w:tc>
          <w:tcPr>
            <w:tcW w:w="87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w:t>
            </w:r>
          </w:p>
        </w:tc>
        <w:tc>
          <w:tcPr>
            <w:tcW w:w="254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霍山国祥塑料制品有限公司</w:t>
            </w:r>
          </w:p>
        </w:tc>
        <w:tc>
          <w:tcPr>
            <w:tcW w:w="226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霍山经济开发区纬七路标准化厂区20#厂房西侧</w:t>
            </w:r>
          </w:p>
        </w:tc>
        <w:tc>
          <w:tcPr>
            <w:tcW w:w="4253"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非甲烷总烃,颗粒物,二甲苯,氯化氢</w:t>
            </w:r>
          </w:p>
        </w:tc>
        <w:tc>
          <w:tcPr>
            <w:tcW w:w="3685"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r>
      <w:tr>
        <w:tblPrEx>
          <w:tblCellMar>
            <w:top w:w="0" w:type="dxa"/>
            <w:left w:w="108" w:type="dxa"/>
            <w:bottom w:w="0" w:type="dxa"/>
            <w:right w:w="108" w:type="dxa"/>
          </w:tblCellMar>
        </w:tblPrEx>
        <w:trPr>
          <w:trHeight w:val="765"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霍山安园新型材料有限公司</w:t>
            </w:r>
          </w:p>
        </w:tc>
        <w:tc>
          <w:tcPr>
            <w:tcW w:w="226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霍山经济开发区</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颗粒物，13个排气筒</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pH、SS、COD、BOD5</w:t>
            </w:r>
          </w:p>
        </w:tc>
      </w:tr>
      <w:tr>
        <w:tblPrEx>
          <w:tblCellMar>
            <w:top w:w="0" w:type="dxa"/>
            <w:left w:w="108" w:type="dxa"/>
            <w:bottom w:w="0" w:type="dxa"/>
            <w:right w:w="108" w:type="dxa"/>
          </w:tblCellMar>
        </w:tblPrEx>
        <w:trPr>
          <w:trHeight w:val="1185"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霍山县福鑫食品有限</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责任公司</w:t>
            </w:r>
          </w:p>
        </w:tc>
        <w:tc>
          <w:tcPr>
            <w:tcW w:w="226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霍山县经济开发区</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颗粒物,SO2,NOx,林格曼黑度</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pH、COD,NH3-N,BOD5,SS、动植物油、粪大肠菌群</w:t>
            </w:r>
          </w:p>
        </w:tc>
      </w:tr>
      <w:tr>
        <w:tblPrEx>
          <w:tblCellMar>
            <w:top w:w="0" w:type="dxa"/>
            <w:left w:w="108" w:type="dxa"/>
            <w:bottom w:w="0" w:type="dxa"/>
            <w:right w:w="108" w:type="dxa"/>
          </w:tblCellMar>
        </w:tblPrEx>
        <w:trPr>
          <w:trHeight w:val="1170"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rPr>
            </w:pPr>
            <w:r>
              <w:rPr>
                <w:rFonts w:hint="eastAsia" w:ascii="宋体" w:hAnsi="宋体" w:cs="宋体"/>
                <w:color w:val="000000"/>
                <w:kern w:val="0"/>
                <w:sz w:val="22"/>
              </w:rPr>
              <w:t>安徽汇佳生物科技有限公司</w:t>
            </w:r>
          </w:p>
        </w:tc>
        <w:tc>
          <w:tcPr>
            <w:tcW w:w="226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霍山县经济开发区</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颗粒物,SO2,NOx,林格曼黑度</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r>
      <w:tr>
        <w:tblPrEx>
          <w:tblCellMar>
            <w:top w:w="0" w:type="dxa"/>
            <w:left w:w="108" w:type="dxa"/>
            <w:bottom w:w="0" w:type="dxa"/>
            <w:right w:w="108" w:type="dxa"/>
          </w:tblCellMar>
        </w:tblPrEx>
        <w:trPr>
          <w:trHeight w:val="1095"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霍山县深山农业开</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有限公司</w:t>
            </w:r>
          </w:p>
        </w:tc>
        <w:tc>
          <w:tcPr>
            <w:tcW w:w="2268" w:type="dxa"/>
            <w:tcBorders>
              <w:top w:val="nil"/>
              <w:left w:val="nil"/>
              <w:bottom w:val="single" w:color="auto" w:sz="4" w:space="0"/>
              <w:right w:val="nil"/>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霍山县与儿街镇双乐河村</w:t>
            </w:r>
          </w:p>
        </w:tc>
        <w:tc>
          <w:tcPr>
            <w:tcW w:w="4253"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pH、COD,NH3-N,BOD5,SS、TP、色度、TN、粪大肠菌群</w:t>
            </w:r>
          </w:p>
        </w:tc>
      </w:tr>
      <w:tr>
        <w:tblPrEx>
          <w:tblCellMar>
            <w:top w:w="0" w:type="dxa"/>
            <w:left w:w="108" w:type="dxa"/>
            <w:bottom w:w="0" w:type="dxa"/>
            <w:right w:w="108" w:type="dxa"/>
          </w:tblCellMar>
        </w:tblPrEx>
        <w:trPr>
          <w:trHeight w:val="1065"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霍山县农之缘生态养</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有限公司</w:t>
            </w:r>
          </w:p>
        </w:tc>
        <w:tc>
          <w:tcPr>
            <w:tcW w:w="2268" w:type="dxa"/>
            <w:tcBorders>
              <w:top w:val="nil"/>
              <w:left w:val="nil"/>
              <w:bottom w:val="single" w:color="auto" w:sz="4" w:space="0"/>
              <w:right w:val="nil"/>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霍山县与儿街镇大沙埂村</w:t>
            </w:r>
          </w:p>
        </w:tc>
        <w:tc>
          <w:tcPr>
            <w:tcW w:w="4253"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pH、COD,NH3-N,BOD5,SS、TP、色度、TN、粪大肠菌群</w:t>
            </w:r>
          </w:p>
        </w:tc>
      </w:tr>
      <w:tr>
        <w:tblPrEx>
          <w:tblCellMar>
            <w:top w:w="0" w:type="dxa"/>
            <w:left w:w="108" w:type="dxa"/>
            <w:bottom w:w="0" w:type="dxa"/>
            <w:right w:w="108" w:type="dxa"/>
          </w:tblCellMar>
        </w:tblPrEx>
        <w:trPr>
          <w:trHeight w:val="1020" w:hRule="atLeast"/>
        </w:trPr>
        <w:tc>
          <w:tcPr>
            <w:tcW w:w="87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w:t>
            </w:r>
          </w:p>
        </w:tc>
        <w:tc>
          <w:tcPr>
            <w:tcW w:w="254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安徽鑫华家具有限公司</w:t>
            </w:r>
          </w:p>
        </w:tc>
        <w:tc>
          <w:tcPr>
            <w:tcW w:w="226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霍山县经济开发区迎宾大道北侧</w:t>
            </w:r>
          </w:p>
        </w:tc>
        <w:tc>
          <w:tcPr>
            <w:tcW w:w="42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颗粒物,挥发性有机物,甲苯,二甲苯,苯</w:t>
            </w:r>
          </w:p>
        </w:tc>
        <w:tc>
          <w:tcPr>
            <w:tcW w:w="368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COD,NH3-N,BOD5,SS、pH、磷酸盐、石油类</w:t>
            </w:r>
          </w:p>
        </w:tc>
      </w:tr>
      <w:tr>
        <w:tblPrEx>
          <w:tblCellMar>
            <w:top w:w="0" w:type="dxa"/>
            <w:left w:w="108" w:type="dxa"/>
            <w:bottom w:w="0" w:type="dxa"/>
            <w:right w:w="108" w:type="dxa"/>
          </w:tblCellMar>
        </w:tblPrEx>
        <w:trPr>
          <w:trHeight w:val="1110" w:hRule="atLeast"/>
        </w:trPr>
        <w:tc>
          <w:tcPr>
            <w:tcW w:w="87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w:t>
            </w:r>
          </w:p>
        </w:tc>
        <w:tc>
          <w:tcPr>
            <w:tcW w:w="254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安徽海派匠工家具制造有限公司</w:t>
            </w:r>
          </w:p>
        </w:tc>
        <w:tc>
          <w:tcPr>
            <w:tcW w:w="226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霍山经济开发区纬八路与高科路交叉口标准化厂房5~7#</w:t>
            </w:r>
          </w:p>
        </w:tc>
        <w:tc>
          <w:tcPr>
            <w:tcW w:w="4253"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颗粒物,挥发性有机物,苯,二甲苯,甲苯,甲醛，2个排气筒</w:t>
            </w:r>
          </w:p>
        </w:tc>
        <w:tc>
          <w:tcPr>
            <w:tcW w:w="3685"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COD,NH3-N,BOD5,SS、pH、磷酸盐、石油类</w:t>
            </w:r>
          </w:p>
        </w:tc>
      </w:tr>
      <w:tr>
        <w:tblPrEx>
          <w:tblCellMar>
            <w:top w:w="0" w:type="dxa"/>
            <w:left w:w="108" w:type="dxa"/>
            <w:bottom w:w="0" w:type="dxa"/>
            <w:right w:w="108" w:type="dxa"/>
          </w:tblCellMar>
        </w:tblPrEx>
        <w:trPr>
          <w:trHeight w:val="855" w:hRule="atLeast"/>
        </w:trPr>
        <w:tc>
          <w:tcPr>
            <w:tcW w:w="87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w:t>
            </w:r>
          </w:p>
        </w:tc>
        <w:tc>
          <w:tcPr>
            <w:tcW w:w="254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霍山县德润塑胶有限公司</w:t>
            </w:r>
          </w:p>
        </w:tc>
        <w:tc>
          <w:tcPr>
            <w:tcW w:w="226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霍山县经济开发区外环路</w:t>
            </w:r>
          </w:p>
        </w:tc>
        <w:tc>
          <w:tcPr>
            <w:tcW w:w="4253"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颗粒物,二甲苯,氯化氢,非甲烷总烃</w:t>
            </w:r>
          </w:p>
        </w:tc>
        <w:tc>
          <w:tcPr>
            <w:tcW w:w="3685"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r>
      <w:tr>
        <w:tblPrEx>
          <w:tblCellMar>
            <w:top w:w="0" w:type="dxa"/>
            <w:left w:w="108" w:type="dxa"/>
            <w:bottom w:w="0" w:type="dxa"/>
            <w:right w:w="108" w:type="dxa"/>
          </w:tblCellMar>
        </w:tblPrEx>
        <w:trPr>
          <w:trHeight w:val="1515" w:hRule="atLeast"/>
        </w:trPr>
        <w:tc>
          <w:tcPr>
            <w:tcW w:w="87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w:t>
            </w:r>
          </w:p>
        </w:tc>
        <w:tc>
          <w:tcPr>
            <w:tcW w:w="2541"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安徽红园化纤科技有限公司</w:t>
            </w:r>
          </w:p>
        </w:tc>
        <w:tc>
          <w:tcPr>
            <w:tcW w:w="2268" w:type="dxa"/>
            <w:tcBorders>
              <w:top w:val="single" w:color="auto" w:sz="4" w:space="0"/>
              <w:left w:val="nil"/>
              <w:bottom w:val="nil"/>
              <w:right w:val="nil"/>
            </w:tcBorders>
            <w:shd w:val="clear" w:color="auto" w:fill="auto"/>
            <w:noWrap w:val="0"/>
            <w:vAlign w:val="center"/>
          </w:tcPr>
          <w:p>
            <w:pPr>
              <w:widowControl/>
              <w:jc w:val="center"/>
              <w:rPr>
                <w:rFonts w:ascii="宋体" w:hAnsi="宋体" w:cs="宋体"/>
                <w:color w:val="000000"/>
                <w:kern w:val="0"/>
                <w:sz w:val="22"/>
              </w:rPr>
            </w:pPr>
            <w:r>
              <w:rPr>
                <w:rFonts w:hint="eastAsia" w:ascii="宋体" w:hAnsi="宋体" w:cs="宋体"/>
                <w:color w:val="000000"/>
                <w:kern w:val="0"/>
                <w:sz w:val="22"/>
              </w:rPr>
              <w:t>霍山县经济开发区</w:t>
            </w:r>
          </w:p>
        </w:tc>
        <w:tc>
          <w:tcPr>
            <w:tcW w:w="42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二氧化硫 ,烟气黑度,氮氧化物,颗粒物，二甲苯,氯化氢，非甲烷总烃</w:t>
            </w:r>
          </w:p>
        </w:tc>
        <w:tc>
          <w:tcPr>
            <w:tcW w:w="3685"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r>
      <w:tr>
        <w:tblPrEx>
          <w:tblCellMar>
            <w:top w:w="0" w:type="dxa"/>
            <w:left w:w="108" w:type="dxa"/>
            <w:bottom w:w="0" w:type="dxa"/>
            <w:right w:w="108" w:type="dxa"/>
          </w:tblCellMar>
        </w:tblPrEx>
        <w:trPr>
          <w:trHeight w:val="1080"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安徽爱童家具科技有限公司</w:t>
            </w:r>
          </w:p>
        </w:tc>
        <w:tc>
          <w:tcPr>
            <w:tcW w:w="226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霍山经济开发区高科路</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颗粒物,二氧化硫,氮氧化物,苯,二甲苯,甲苯,挥发性有机物，4个排气筒</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r>
      <w:tr>
        <w:tblPrEx>
          <w:tblCellMar>
            <w:top w:w="0" w:type="dxa"/>
            <w:left w:w="108" w:type="dxa"/>
            <w:bottom w:w="0" w:type="dxa"/>
            <w:right w:w="108" w:type="dxa"/>
          </w:tblCellMar>
        </w:tblPrEx>
        <w:trPr>
          <w:trHeight w:val="765"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安徽省霍山县康健鞋业有限公司</w:t>
            </w:r>
          </w:p>
        </w:tc>
        <w:tc>
          <w:tcPr>
            <w:tcW w:w="226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霍山县黑石渡镇街道</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挥发性有机物,二甲苯,苯,甲苯；颗粒物</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r>
      <w:tr>
        <w:tblPrEx>
          <w:tblCellMar>
            <w:top w:w="0" w:type="dxa"/>
            <w:left w:w="108" w:type="dxa"/>
            <w:bottom w:w="0" w:type="dxa"/>
            <w:right w:w="108" w:type="dxa"/>
          </w:tblCellMar>
        </w:tblPrEx>
        <w:trPr>
          <w:trHeight w:val="1094" w:hRule="atLeast"/>
        </w:trPr>
        <w:tc>
          <w:tcPr>
            <w:tcW w:w="876"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w:t>
            </w:r>
          </w:p>
        </w:tc>
        <w:tc>
          <w:tcPr>
            <w:tcW w:w="2541"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rPr>
            </w:pPr>
            <w:r>
              <w:rPr>
                <w:rFonts w:hint="eastAsia" w:ascii="宋体" w:hAnsi="宋体" w:cs="宋体"/>
                <w:color w:val="000000"/>
                <w:kern w:val="0"/>
                <w:sz w:val="22"/>
              </w:rPr>
              <w:t>安徽迎驾贡酒股份有限公司曲酒分公司</w:t>
            </w:r>
          </w:p>
        </w:tc>
        <w:tc>
          <w:tcPr>
            <w:tcW w:w="226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迎驾厂</w:t>
            </w:r>
          </w:p>
        </w:tc>
        <w:tc>
          <w:tcPr>
            <w:tcW w:w="4253"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颗粒物,氮氧化物,烟气黑度,二氧化硫,林格曼黑度,氨（氨气）,臭气浓度</w:t>
            </w:r>
          </w:p>
        </w:tc>
        <w:tc>
          <w:tcPr>
            <w:tcW w:w="368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w:t>
            </w:r>
          </w:p>
        </w:tc>
      </w:tr>
    </w:tbl>
    <w:p>
      <w:pPr>
        <w:pStyle w:val="27"/>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cs="宋体"/>
          <w:b/>
          <w:color w:val="000000"/>
        </w:rPr>
      </w:pPr>
      <w:r>
        <w:rPr>
          <w:rFonts w:hint="eastAsia" w:ascii="宋体" w:hAnsi="宋体" w:cs="宋体"/>
          <w:b/>
          <w:color w:val="000000"/>
        </w:rPr>
        <w:t>说明：</w:t>
      </w:r>
      <w:r>
        <w:rPr>
          <w:rFonts w:hint="eastAsia" w:cs="宋体"/>
          <w:b/>
          <w:color w:val="000000"/>
          <w:lang w:eastAsia="zh-CN"/>
        </w:rPr>
        <w:t>服务</w:t>
      </w:r>
      <w:r>
        <w:rPr>
          <w:rFonts w:hint="eastAsia" w:ascii="宋体" w:hAnsi="宋体" w:cs="宋体"/>
          <w:b/>
          <w:color w:val="000000"/>
        </w:rPr>
        <w:t>需求如有参考品牌，仅作为说明，没有限制性，投标人在投标中可以选用替代标准，但这些替代标准要优于或相当于采购单位要求的标准并提供证明材料，以满足采购人的需要。</w:t>
      </w:r>
    </w:p>
    <w:p>
      <w:pPr>
        <w:pStyle w:val="27"/>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宋体"/>
          <w:b/>
          <w:color w:val="auto"/>
          <w:kern w:val="0"/>
          <w:sz w:val="32"/>
          <w:szCs w:val="32"/>
          <w:lang w:val="en-US" w:eastAsia="zh-CN" w:bidi="ar-SA"/>
        </w:rPr>
      </w:pPr>
      <w:r>
        <w:rPr>
          <w:rFonts w:hint="eastAsia"/>
          <w:color w:val="auto"/>
          <w:sz w:val="21"/>
          <w:szCs w:val="21"/>
        </w:rPr>
        <w:t>备注：1、本项目报价采用“总价报价”，响应报价应含有所投</w:t>
      </w:r>
      <w:r>
        <w:rPr>
          <w:rFonts w:hint="eastAsia"/>
          <w:color w:val="auto"/>
          <w:sz w:val="21"/>
          <w:szCs w:val="21"/>
          <w:lang w:eastAsia="zh-CN"/>
        </w:rPr>
        <w:t>服务</w:t>
      </w:r>
      <w:r>
        <w:rPr>
          <w:rFonts w:hint="eastAsia"/>
          <w:color w:val="auto"/>
          <w:sz w:val="21"/>
          <w:szCs w:val="21"/>
        </w:rPr>
        <w:t>的税费（如关税、进口</w:t>
      </w:r>
      <w:r>
        <w:rPr>
          <w:rFonts w:hint="eastAsia"/>
          <w:color w:val="auto"/>
          <w:sz w:val="21"/>
          <w:szCs w:val="21"/>
          <w:lang w:eastAsia="zh-CN"/>
        </w:rPr>
        <w:t>服务</w:t>
      </w:r>
      <w:r>
        <w:rPr>
          <w:rFonts w:hint="eastAsia"/>
          <w:color w:val="auto"/>
          <w:sz w:val="21"/>
          <w:szCs w:val="21"/>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2"/>
        <w:keepNext/>
        <w:keepLines/>
        <w:widowControl w:val="0"/>
        <w:numPr>
          <w:ilvl w:val="0"/>
          <w:numId w:val="0"/>
        </w:numPr>
        <w:adjustRightInd w:val="0"/>
        <w:spacing w:before="260" w:after="260" w:line="416" w:lineRule="atLeast"/>
        <w:jc w:val="left"/>
        <w:textAlignment w:val="baseline"/>
        <w:outlineLvl w:val="1"/>
        <w:rPr>
          <w:rFonts w:hint="eastAsia"/>
          <w:lang w:val="en-US" w:eastAsia="zh-CN"/>
        </w:rPr>
      </w:pPr>
    </w:p>
    <w:p>
      <w:pPr>
        <w:rPr>
          <w:rFonts w:hint="eastAsia"/>
          <w:lang w:val="en-US" w:eastAsia="zh-CN"/>
        </w:rPr>
        <w:sectPr>
          <w:headerReference r:id="rId4" w:type="default"/>
          <w:footerReference r:id="rId5" w:type="default"/>
          <w:pgSz w:w="16838" w:h="11906" w:orient="landscape"/>
          <w:pgMar w:top="1417" w:right="1134" w:bottom="1449" w:left="1134" w:header="567" w:footer="992" w:gutter="0"/>
          <w:pgNumType w:fmt="decimal" w:start="1"/>
          <w:cols w:space="720" w:num="1"/>
          <w:rtlGutter w:val="0"/>
          <w:docGrid w:type="lines" w:linePitch="312" w:charSpace="0"/>
        </w:sectPr>
      </w:pPr>
    </w:p>
    <w:p>
      <w:pPr>
        <w:pStyle w:val="2"/>
        <w:jc w:val="center"/>
        <w:rPr>
          <w:rFonts w:hint="eastAsia"/>
        </w:rPr>
      </w:pPr>
      <w:bookmarkStart w:id="37" w:name="_Toc4288_WPSOffice_Level1"/>
      <w:bookmarkStart w:id="38" w:name="_Toc11297"/>
      <w:r>
        <w:rPr>
          <w:rFonts w:hint="eastAsia" w:ascii="宋体" w:hAnsi="宋体" w:eastAsia="宋体" w:cs="宋体"/>
          <w:b/>
          <w:color w:val="auto"/>
          <w:kern w:val="0"/>
          <w:sz w:val="32"/>
          <w:szCs w:val="32"/>
          <w:lang w:val="en-US" w:eastAsia="zh-CN" w:bidi="ar-SA"/>
        </w:rPr>
        <w:t>五、响应文件格式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6"/>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eastAsia="zh-CN"/>
              </w:rPr>
              <w:t>服务</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0" w:name="_Toc471299103"/>
      <w:bookmarkStart w:id="51" w:name="_Toc5932"/>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15"/>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4" w:name="_Toc31656"/>
      <w:bookmarkStart w:id="55" w:name="_Toc471299104"/>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516969098"/>
      <w:bookmarkStart w:id="60" w:name="_Toc148501698"/>
      <w:bookmarkStart w:id="61" w:name="_Toc3858_WPSOffice_Level1"/>
      <w:r>
        <w:rPr>
          <w:rFonts w:hint="eastAsia"/>
          <w:b/>
          <w:bCs/>
          <w:color w:val="auto"/>
          <w:sz w:val="28"/>
          <w:szCs w:val="28"/>
        </w:rPr>
        <w:t>响应函</w:t>
      </w:r>
      <w:bookmarkEnd w:id="59"/>
      <w:bookmarkEnd w:id="60"/>
      <w:bookmarkEnd w:id="61"/>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eastAsia="zh-CN"/>
        </w:rPr>
        <w:t>服务</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62" w:name="_Toc471299106"/>
      <w:bookmarkStart w:id="63" w:name="_Toc417045478"/>
      <w:bookmarkStart w:id="64" w:name="_Toc30711"/>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服务内容</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付款响应</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服务响应</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eastAsia="zh-CN"/>
        </w:rPr>
        <w:t>服务</w:t>
      </w:r>
      <w:r>
        <w:rPr>
          <w:rFonts w:hint="eastAsia" w:ascii="宋体" w:hAnsi="宋体"/>
          <w:b/>
          <w:bCs/>
          <w:color w:val="auto"/>
          <w:sz w:val="21"/>
          <w:szCs w:val="21"/>
        </w:rPr>
        <w:t>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1" w:name="_Toc471299110"/>
      <w:bookmarkStart w:id="72" w:name="_Toc27567"/>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1"/>
      <w:bookmarkEnd w:id="72"/>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3"/>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3"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3"/>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服务</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rPr>
          <w:rFonts w:hint="eastAsia" w:ascii="宋体" w:hAnsi="宋体" w:cs="宋体"/>
          <w:color w:val="auto"/>
          <w:szCs w:val="21"/>
        </w:rPr>
      </w:pPr>
    </w:p>
    <w:p>
      <w:pPr>
        <w:numPr>
          <w:ilvl w:val="0"/>
          <w:numId w:val="2"/>
        </w:numPr>
        <w:adjustRightInd w:val="0"/>
        <w:snapToGrid w:val="0"/>
        <w:spacing w:line="320" w:lineRule="auto"/>
        <w:ind w:left="2870" w:leftChars="0" w:firstLine="0" w:firstLineChars="0"/>
        <w:rPr>
          <w:rFonts w:hint="eastAsia"/>
          <w:b/>
          <w:bCs/>
          <w:color w:val="auto"/>
          <w:sz w:val="28"/>
          <w:szCs w:val="28"/>
          <w:lang w:val="en-US"/>
        </w:rPr>
      </w:pPr>
      <w:bookmarkStart w:id="74"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75" w:name="_Toc32017"/>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6" w:name="_Toc12025_WPSOffice_Level1"/>
      <w:r>
        <w:rPr>
          <w:rFonts w:hint="eastAsia"/>
          <w:b/>
          <w:bCs/>
          <w:color w:val="auto"/>
          <w:sz w:val="28"/>
          <w:szCs w:val="28"/>
          <w:lang w:val="zh-CN"/>
        </w:rPr>
        <w:t>服务、安装、售后服务承诺</w:t>
      </w:r>
      <w:bookmarkEnd w:id="7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7" w:name="_Toc27705"/>
      <w:r>
        <w:rPr>
          <w:rFonts w:hint="eastAsia" w:ascii="宋体" w:hAnsi="宋体" w:eastAsia="宋体" w:cs="宋体"/>
          <w:color w:val="auto"/>
          <w:sz w:val="21"/>
          <w:szCs w:val="21"/>
        </w:rPr>
        <w:t>附件</w:t>
      </w:r>
      <w:bookmarkEnd w:id="77"/>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8" w:name="_Toc1950_WPSOffice_Level1"/>
      <w:r>
        <w:rPr>
          <w:rFonts w:hint="eastAsia"/>
          <w:b/>
          <w:bCs/>
          <w:color w:val="auto"/>
          <w:sz w:val="28"/>
          <w:szCs w:val="28"/>
          <w:lang w:val="zh-CN"/>
        </w:rPr>
        <w:t>询价文件要求和供应商认为需要提供的其它说明和资料</w:t>
      </w:r>
      <w:bookmarkEnd w:id="78"/>
    </w:p>
    <w:p>
      <w:pPr>
        <w:jc w:val="both"/>
        <w:rPr>
          <w:rFonts w:hint="eastAsia" w:ascii="宋体" w:hAnsi="宋体" w:cs="宋体"/>
          <w:b/>
          <w:bCs/>
          <w:color w:val="auto"/>
          <w:sz w:val="32"/>
          <w:szCs w:val="32"/>
        </w:rPr>
      </w:pPr>
      <w:bookmarkStart w:id="79" w:name="_Toc3085"/>
      <w:bookmarkStart w:id="80"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79"/>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0"/>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w:t>
      </w:r>
      <w:r>
        <w:rPr>
          <w:rFonts w:hint="eastAsia" w:ascii="宋体" w:hAnsi="宋体" w:cs="宋体"/>
          <w:color w:val="auto"/>
          <w:sz w:val="24"/>
          <w:lang w:eastAsia="zh-CN"/>
        </w:rPr>
        <w:t>服务</w:t>
      </w:r>
      <w:r>
        <w:rPr>
          <w:rFonts w:hint="eastAsia" w:ascii="宋体" w:hAnsi="宋体" w:cs="宋体"/>
          <w:color w:val="auto"/>
          <w:sz w:val="24"/>
        </w:rPr>
        <w:t>、承担的工程或者服务，或者提供其他中小企业制造的</w:t>
      </w:r>
      <w:r>
        <w:rPr>
          <w:rFonts w:hint="eastAsia" w:ascii="宋体" w:hAnsi="宋体" w:cs="宋体"/>
          <w:color w:val="auto"/>
          <w:sz w:val="24"/>
          <w:lang w:eastAsia="zh-CN"/>
        </w:rPr>
        <w:t>服务</w:t>
      </w:r>
      <w:r>
        <w:rPr>
          <w:rFonts w:hint="eastAsia" w:ascii="宋体" w:hAnsi="宋体" w:cs="宋体"/>
          <w:color w:val="auto"/>
          <w:sz w:val="24"/>
        </w:rPr>
        <w:t>。本项所称</w:t>
      </w:r>
      <w:r>
        <w:rPr>
          <w:rFonts w:hint="eastAsia" w:ascii="宋体" w:hAnsi="宋体" w:cs="宋体"/>
          <w:color w:val="auto"/>
          <w:sz w:val="24"/>
          <w:lang w:eastAsia="zh-CN"/>
        </w:rPr>
        <w:t>服务</w:t>
      </w:r>
      <w:r>
        <w:rPr>
          <w:rFonts w:hint="eastAsia" w:ascii="宋体" w:hAnsi="宋体" w:cs="宋体"/>
          <w:color w:val="auto"/>
          <w:sz w:val="24"/>
        </w:rPr>
        <w:t>不包括使用大型企业注册商标的</w:t>
      </w:r>
      <w:r>
        <w:rPr>
          <w:rFonts w:hint="eastAsia" w:ascii="宋体" w:hAnsi="宋体" w:cs="宋体"/>
          <w:color w:val="auto"/>
          <w:sz w:val="24"/>
          <w:lang w:eastAsia="zh-CN"/>
        </w:rPr>
        <w:t>服务</w:t>
      </w:r>
      <w:r>
        <w:rPr>
          <w:rFonts w:hint="eastAsia" w:ascii="宋体" w:hAnsi="宋体" w:cs="宋体"/>
          <w:color w:val="auto"/>
          <w:sz w:val="24"/>
        </w:rPr>
        <w:t>。</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1" w:name="_Toc10947_WPSOffice_Level1"/>
      <w:r>
        <w:rPr>
          <w:rFonts w:hint="eastAsia" w:ascii="宋体" w:hAnsi="宋体" w:cs="宋体"/>
          <w:b/>
          <w:bCs/>
          <w:color w:val="auto"/>
          <w:sz w:val="24"/>
        </w:rPr>
        <w:t>注：</w:t>
      </w:r>
      <w:bookmarkEnd w:id="81"/>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jc w:val="right"/>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2" w:name="_Toc27363_WPSOffice_Level1"/>
      <w:r>
        <w:rPr>
          <w:rFonts w:hint="eastAsia" w:ascii="宋体" w:hAnsi="宋体" w:cs="宋体"/>
          <w:b/>
          <w:bCs/>
          <w:color w:val="auto"/>
          <w:sz w:val="24"/>
        </w:rPr>
        <w:t>注：</w:t>
      </w:r>
      <w:bookmarkEnd w:id="82"/>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（由本单位承担工程/提供服务），或者提供其他残疾人福利性单位制造的</w:t>
      </w:r>
      <w:r>
        <w:rPr>
          <w:rFonts w:hint="eastAsia" w:ascii="宋体" w:hAnsi="宋体" w:cs="宋体"/>
          <w:color w:val="auto"/>
          <w:kern w:val="0"/>
          <w:sz w:val="24"/>
          <w:lang w:eastAsia="zh-CN"/>
        </w:rPr>
        <w:t>服务</w:t>
      </w:r>
      <w:r>
        <w:rPr>
          <w:rFonts w:hint="eastAsia" w:ascii="宋体" w:hAnsi="宋体" w:cs="宋体"/>
          <w:color w:val="auto"/>
          <w:kern w:val="0"/>
          <w:sz w:val="24"/>
        </w:rPr>
        <w:t>（不包括使用非残疾人福利性单位注册商标的</w:t>
      </w:r>
      <w:r>
        <w:rPr>
          <w:rFonts w:hint="eastAsia" w:ascii="宋体" w:hAnsi="宋体" w:cs="宋体"/>
          <w:color w:val="auto"/>
          <w:kern w:val="0"/>
          <w:sz w:val="24"/>
          <w:lang w:eastAsia="zh-CN"/>
        </w:rPr>
        <w:t>服务</w:t>
      </w:r>
      <w:r>
        <w:rPr>
          <w:rFonts w:hint="eastAsia" w:ascii="宋体" w:hAnsi="宋体" w:cs="宋体"/>
          <w:color w:val="auto"/>
          <w:kern w:val="0"/>
          <w:sz w:val="24"/>
        </w:rPr>
        <w:t>）。</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3" w:name="_Toc13534_WPSOffice_Level1"/>
      <w:r>
        <w:rPr>
          <w:rFonts w:hint="eastAsia" w:ascii="宋体" w:hAnsi="宋体" w:cs="宋体"/>
          <w:b/>
          <w:bCs/>
          <w:color w:val="auto"/>
          <w:sz w:val="24"/>
        </w:rPr>
        <w:t>注：</w:t>
      </w:r>
      <w:bookmarkEnd w:id="83"/>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15"/>
        <w:rPr>
          <w:rFonts w:hint="eastAsia" w:ascii="宋体" w:hAnsi="宋体" w:cs="宋体"/>
          <w:b/>
          <w:bCs/>
          <w:color w:val="auto"/>
          <w:sz w:val="24"/>
          <w:szCs w:val="24"/>
        </w:rPr>
      </w:pPr>
      <w:bookmarkStart w:id="84" w:name="_Toc16902_WPSOffice_Level1"/>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4"/>
    </w:p>
    <w:p>
      <w:pPr>
        <w:spacing w:line="400" w:lineRule="exact"/>
        <w:jc w:val="center"/>
        <w:rPr>
          <w:rFonts w:hint="eastAsia" w:ascii="宋体" w:hAnsi="宋体" w:cs="宋体"/>
          <w:b/>
          <w:color w:val="auto"/>
          <w:sz w:val="28"/>
          <w:szCs w:val="28"/>
          <w:shd w:val="clear" w:color="auto" w:fill="FFFFFF"/>
        </w:rPr>
      </w:pPr>
      <w:bookmarkStart w:id="85"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5"/>
    </w:p>
    <w:p>
      <w:pPr>
        <w:adjustRightInd w:val="0"/>
        <w:snapToGrid w:val="0"/>
        <w:spacing w:line="360" w:lineRule="exact"/>
        <w:ind w:right="15" w:rightChars="7"/>
        <w:rPr>
          <w:rFonts w:hint="eastAsia" w:ascii="宋体" w:hAnsi="宋体" w:cs="宋体"/>
          <w:bCs/>
          <w:color w:val="auto"/>
          <w:shd w:val="clear" w:color="auto" w:fill="FFFFFF"/>
        </w:rPr>
      </w:pPr>
      <w:bookmarkStart w:id="86" w:name="_Toc3059_WPSOffice_Level1"/>
      <w:r>
        <w:rPr>
          <w:rFonts w:hint="eastAsia" w:ascii="宋体" w:hAnsi="宋体" w:cs="宋体"/>
          <w:bCs/>
          <w:color w:val="auto"/>
          <w:shd w:val="clear" w:color="auto" w:fill="FFFFFF"/>
        </w:rPr>
        <w:t>一、项目相关情况</w:t>
      </w:r>
      <w:bookmarkEnd w:id="86"/>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霍山县技工学校</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87" w:name="_Toc21327_WPSOffice_Level1"/>
      <w:r>
        <w:rPr>
          <w:rFonts w:hint="eastAsia" w:ascii="宋体" w:hAnsi="宋体" w:cs="宋体"/>
          <w:bCs/>
          <w:color w:val="auto"/>
          <w:shd w:val="clear" w:color="auto" w:fill="FFFFFF"/>
        </w:rPr>
        <w:t>二、质疑提起的条件及不予受理的情形</w:t>
      </w:r>
      <w:bookmarkEnd w:id="87"/>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8" w:name="_Toc17685_WPSOffice_Level1"/>
      <w:r>
        <w:rPr>
          <w:rFonts w:hint="eastAsia" w:ascii="宋体" w:hAnsi="宋体" w:cs="宋体"/>
          <w:bCs/>
          <w:color w:val="auto"/>
          <w:shd w:val="clear" w:color="auto" w:fill="FFFFFF"/>
        </w:rPr>
        <w:t>三、其他</w:t>
      </w:r>
      <w:bookmarkEnd w:id="88"/>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89"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r>
        <w:rPr>
          <w:rFonts w:hint="eastAsia" w:ascii="宋体" w:hAnsi="宋体"/>
          <w:b/>
          <w:color w:val="auto"/>
          <w:sz w:val="24"/>
          <w:szCs w:val="28"/>
          <w:lang w:val="en-US" w:eastAsia="zh-CN"/>
        </w:rPr>
        <w:t>附件十</w:t>
      </w:r>
      <w:bookmarkEnd w:id="89"/>
    </w:p>
    <w:p>
      <w:pPr>
        <w:pStyle w:val="7"/>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lear" w:pos="4153"/>
      </w:tabs>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8240;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D&#10;5X5J0AAAAAMBAAAPAAAAAAAAAAEAIAAAACIAAABkcnMvZG93bnJldi54bWxQSwECFAAUAAAACACH&#10;TuJA1Rn1n/MBAADCAwAADgAAAAAAAAABACAAAAAfAQAAZHJzL2Uyb0RvYy54bWxQSwUGAAAAAAYA&#10;BgBZAQAAhAUAAAAA&#10;">
              <v:fill on="f" focussize="0,0"/>
              <v:stroke on="f"/>
              <v:imagedata o:title=""/>
              <o:lock v:ext="edit" aspectratio="f"/>
              <v:textbox inset="0mm,0mm,0mm,0mm" style="mso-fit-shape-to-text:t;">
                <w:txbxContent>
                  <w:p>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21B0238"/>
    <w:rsid w:val="02AA1EE6"/>
    <w:rsid w:val="03150F8F"/>
    <w:rsid w:val="049E2DCE"/>
    <w:rsid w:val="059C0CBD"/>
    <w:rsid w:val="0644344B"/>
    <w:rsid w:val="065734CB"/>
    <w:rsid w:val="066160FD"/>
    <w:rsid w:val="06BE48F4"/>
    <w:rsid w:val="07500CD8"/>
    <w:rsid w:val="07640C17"/>
    <w:rsid w:val="088902E8"/>
    <w:rsid w:val="09F429FB"/>
    <w:rsid w:val="0A967446"/>
    <w:rsid w:val="0AD92462"/>
    <w:rsid w:val="0ADA7309"/>
    <w:rsid w:val="0C5D10F3"/>
    <w:rsid w:val="0C8B3F0F"/>
    <w:rsid w:val="0CE51BA4"/>
    <w:rsid w:val="0D4A538B"/>
    <w:rsid w:val="0E7B6D74"/>
    <w:rsid w:val="0EB23F58"/>
    <w:rsid w:val="0EC811A0"/>
    <w:rsid w:val="0F2B7E44"/>
    <w:rsid w:val="11013491"/>
    <w:rsid w:val="12256160"/>
    <w:rsid w:val="13592465"/>
    <w:rsid w:val="14051CA6"/>
    <w:rsid w:val="1414601F"/>
    <w:rsid w:val="147737A7"/>
    <w:rsid w:val="14827BCA"/>
    <w:rsid w:val="15055C7F"/>
    <w:rsid w:val="15081ED3"/>
    <w:rsid w:val="159267B6"/>
    <w:rsid w:val="161D1882"/>
    <w:rsid w:val="16C41FE1"/>
    <w:rsid w:val="16E90795"/>
    <w:rsid w:val="174F1F7C"/>
    <w:rsid w:val="18B06CB8"/>
    <w:rsid w:val="18FB5F6E"/>
    <w:rsid w:val="191D49AE"/>
    <w:rsid w:val="19E22D40"/>
    <w:rsid w:val="1A1D00D5"/>
    <w:rsid w:val="1A331B52"/>
    <w:rsid w:val="1A423C53"/>
    <w:rsid w:val="1B8850A8"/>
    <w:rsid w:val="1BD82076"/>
    <w:rsid w:val="1C230B2D"/>
    <w:rsid w:val="1C7E28A8"/>
    <w:rsid w:val="1C996F6B"/>
    <w:rsid w:val="1D16290A"/>
    <w:rsid w:val="1D217AE8"/>
    <w:rsid w:val="1DC0444F"/>
    <w:rsid w:val="215167E4"/>
    <w:rsid w:val="21EA62EB"/>
    <w:rsid w:val="221A7232"/>
    <w:rsid w:val="221B322D"/>
    <w:rsid w:val="22316A8B"/>
    <w:rsid w:val="22BE48E0"/>
    <w:rsid w:val="23146CA5"/>
    <w:rsid w:val="234A74A5"/>
    <w:rsid w:val="236C589C"/>
    <w:rsid w:val="249C4D10"/>
    <w:rsid w:val="252F4627"/>
    <w:rsid w:val="25656A25"/>
    <w:rsid w:val="25991012"/>
    <w:rsid w:val="25DF344B"/>
    <w:rsid w:val="260D2BCC"/>
    <w:rsid w:val="2756117E"/>
    <w:rsid w:val="282C5FBE"/>
    <w:rsid w:val="283956A8"/>
    <w:rsid w:val="28B95567"/>
    <w:rsid w:val="29D81534"/>
    <w:rsid w:val="2A987BB9"/>
    <w:rsid w:val="2AAD5454"/>
    <w:rsid w:val="2AE476F0"/>
    <w:rsid w:val="2B1C14C3"/>
    <w:rsid w:val="2BA25F45"/>
    <w:rsid w:val="2BB052E5"/>
    <w:rsid w:val="2D254D25"/>
    <w:rsid w:val="2DD57ECD"/>
    <w:rsid w:val="2E485C02"/>
    <w:rsid w:val="2E812FF3"/>
    <w:rsid w:val="2ED51A6E"/>
    <w:rsid w:val="2F1C57A5"/>
    <w:rsid w:val="2FA7707A"/>
    <w:rsid w:val="30091271"/>
    <w:rsid w:val="30E913A6"/>
    <w:rsid w:val="31AB79A4"/>
    <w:rsid w:val="31F9233C"/>
    <w:rsid w:val="32661595"/>
    <w:rsid w:val="340E6C58"/>
    <w:rsid w:val="34D536C4"/>
    <w:rsid w:val="35680E1A"/>
    <w:rsid w:val="38312E6C"/>
    <w:rsid w:val="38B45EFC"/>
    <w:rsid w:val="38D036A4"/>
    <w:rsid w:val="39792C93"/>
    <w:rsid w:val="398D0AC5"/>
    <w:rsid w:val="3AE97D6B"/>
    <w:rsid w:val="3B8E3C6C"/>
    <w:rsid w:val="3C1C5FDB"/>
    <w:rsid w:val="3C422011"/>
    <w:rsid w:val="3C967255"/>
    <w:rsid w:val="3D457CC8"/>
    <w:rsid w:val="3D5C50E1"/>
    <w:rsid w:val="3E046DF3"/>
    <w:rsid w:val="3E9D780F"/>
    <w:rsid w:val="3FE111C3"/>
    <w:rsid w:val="40B4502A"/>
    <w:rsid w:val="40FE59B1"/>
    <w:rsid w:val="41666DD5"/>
    <w:rsid w:val="41DD49C0"/>
    <w:rsid w:val="42B2150D"/>
    <w:rsid w:val="431D644D"/>
    <w:rsid w:val="44595EFE"/>
    <w:rsid w:val="44A83992"/>
    <w:rsid w:val="45FC1F89"/>
    <w:rsid w:val="46447AD0"/>
    <w:rsid w:val="4667667C"/>
    <w:rsid w:val="46FE1966"/>
    <w:rsid w:val="47AD1197"/>
    <w:rsid w:val="47ED349E"/>
    <w:rsid w:val="48D30C8F"/>
    <w:rsid w:val="48F93679"/>
    <w:rsid w:val="49151A34"/>
    <w:rsid w:val="493E0515"/>
    <w:rsid w:val="49665DCB"/>
    <w:rsid w:val="49974E74"/>
    <w:rsid w:val="4A405D23"/>
    <w:rsid w:val="4A4D2829"/>
    <w:rsid w:val="4D18297E"/>
    <w:rsid w:val="4D757618"/>
    <w:rsid w:val="4DD8672F"/>
    <w:rsid w:val="4DEC6549"/>
    <w:rsid w:val="4E126F73"/>
    <w:rsid w:val="4F1C43FC"/>
    <w:rsid w:val="4F490783"/>
    <w:rsid w:val="4F833E54"/>
    <w:rsid w:val="4F9010E9"/>
    <w:rsid w:val="50345C2D"/>
    <w:rsid w:val="51373F3D"/>
    <w:rsid w:val="53A51F4E"/>
    <w:rsid w:val="54A309A3"/>
    <w:rsid w:val="54B56A54"/>
    <w:rsid w:val="552175DB"/>
    <w:rsid w:val="558001AF"/>
    <w:rsid w:val="559C563E"/>
    <w:rsid w:val="55FB7588"/>
    <w:rsid w:val="57562B24"/>
    <w:rsid w:val="581B40F7"/>
    <w:rsid w:val="58565344"/>
    <w:rsid w:val="58695F8B"/>
    <w:rsid w:val="589543F5"/>
    <w:rsid w:val="589B2E3D"/>
    <w:rsid w:val="5A9B3313"/>
    <w:rsid w:val="5AF22F7E"/>
    <w:rsid w:val="5BA07BB6"/>
    <w:rsid w:val="5BBE35F6"/>
    <w:rsid w:val="5C3E5A4E"/>
    <w:rsid w:val="5CA4442A"/>
    <w:rsid w:val="5CFA0810"/>
    <w:rsid w:val="5D273630"/>
    <w:rsid w:val="5D603CFB"/>
    <w:rsid w:val="5EB3743D"/>
    <w:rsid w:val="5EFB6C0F"/>
    <w:rsid w:val="5F2B66BC"/>
    <w:rsid w:val="61755069"/>
    <w:rsid w:val="618D0E1A"/>
    <w:rsid w:val="619C1CA6"/>
    <w:rsid w:val="629D1B22"/>
    <w:rsid w:val="630E6F66"/>
    <w:rsid w:val="63637DD7"/>
    <w:rsid w:val="639C65AB"/>
    <w:rsid w:val="63CE30A4"/>
    <w:rsid w:val="65502555"/>
    <w:rsid w:val="65771F5A"/>
    <w:rsid w:val="66357CC3"/>
    <w:rsid w:val="66E763EB"/>
    <w:rsid w:val="66F918C9"/>
    <w:rsid w:val="678154B0"/>
    <w:rsid w:val="68560087"/>
    <w:rsid w:val="68BA3798"/>
    <w:rsid w:val="690D0368"/>
    <w:rsid w:val="692F6410"/>
    <w:rsid w:val="69FF7CBD"/>
    <w:rsid w:val="6A47529D"/>
    <w:rsid w:val="6A5A6DA2"/>
    <w:rsid w:val="6AF61310"/>
    <w:rsid w:val="6B225547"/>
    <w:rsid w:val="6B413A50"/>
    <w:rsid w:val="6C0040EC"/>
    <w:rsid w:val="6C640C01"/>
    <w:rsid w:val="6CD771B7"/>
    <w:rsid w:val="6DA52666"/>
    <w:rsid w:val="6DB0368A"/>
    <w:rsid w:val="6F5632F9"/>
    <w:rsid w:val="6FB45A58"/>
    <w:rsid w:val="73D81B5D"/>
    <w:rsid w:val="741719F8"/>
    <w:rsid w:val="74832F2C"/>
    <w:rsid w:val="7557332E"/>
    <w:rsid w:val="76A1003E"/>
    <w:rsid w:val="78397A44"/>
    <w:rsid w:val="789C2226"/>
    <w:rsid w:val="78F92F7D"/>
    <w:rsid w:val="795B2256"/>
    <w:rsid w:val="79F628A4"/>
    <w:rsid w:val="7A1A522E"/>
    <w:rsid w:val="7A686D7F"/>
    <w:rsid w:val="7AA81F8D"/>
    <w:rsid w:val="7C1203A8"/>
    <w:rsid w:val="7D196BB9"/>
    <w:rsid w:val="7D6A6C42"/>
    <w:rsid w:val="7D8F0802"/>
    <w:rsid w:val="7E456548"/>
    <w:rsid w:val="7EF1633B"/>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19">
    <w:name w:val="Default Paragraph Font"/>
    <w:link w:val="20"/>
    <w:semiHidden/>
    <w:qFormat/>
    <w:uiPriority w:val="0"/>
    <w:rPr>
      <w:rFonts w:ascii="Tahoma" w:hAnsi="Tahoma" w:eastAsia="宋体" w:cs="Times New Roman"/>
      <w:sz w:val="24"/>
    </w:rPr>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autoSpaceDN/>
      <w:adjustRightInd/>
      <w:ind w:firstLine="420"/>
    </w:pPr>
    <w:rPr>
      <w:color w:val="auto"/>
      <w:kern w:val="2"/>
      <w:szCs w:val="20"/>
    </w:rPr>
  </w:style>
  <w:style w:type="paragraph" w:styleId="6">
    <w:name w:val="Body Text"/>
    <w:basedOn w:val="1"/>
    <w:next w:val="7"/>
    <w:qFormat/>
    <w:uiPriority w:val="99"/>
    <w:pPr>
      <w:spacing w:after="120"/>
    </w:pPr>
    <w:rPr>
      <w:szCs w:val="24"/>
    </w:rPr>
  </w:style>
  <w:style w:type="paragraph" w:customStyle="1" w:styleId="7">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6"/>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Char Char Char Char"/>
    <w:basedOn w:val="1"/>
    <w:next w:val="1"/>
    <w:link w:val="19"/>
    <w:qFormat/>
    <w:uiPriority w:val="0"/>
    <w:rPr>
      <w:rFonts w:ascii="Tahoma" w:hAnsi="Tahoma" w:eastAsia="宋体" w:cs="Times New Roman"/>
      <w:sz w:val="24"/>
    </w:rPr>
  </w:style>
  <w:style w:type="character" w:styleId="21">
    <w:name w:val="page number"/>
    <w:basedOn w:val="19"/>
    <w:qFormat/>
    <w:uiPriority w:val="0"/>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2"/>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19"/>
    <w:link w:val="4"/>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2020-07-07T00:19:00Z</cp:lastPrinted>
  <dcterms:modified xsi:type="dcterms:W3CDTF">2020-07-07T09:57:01Z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