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firstLine="0" w:firstLineChars="0"/>
        <w:rPr>
          <w:rFonts w:hint="eastAsia" w:asciiTheme="minorEastAsia" w:hAnsiTheme="minorEastAsia" w:eastAsiaTheme="minorEastAsia" w:cstheme="minorEastAsia"/>
        </w:rPr>
      </w:pPr>
    </w:p>
    <w:p>
      <w:pPr>
        <w:pStyle w:val="15"/>
        <w:ind w:firstLine="0" w:firstLineChars="0"/>
        <w:rPr>
          <w:rFonts w:hint="eastAsia" w:asciiTheme="minorEastAsia" w:hAnsiTheme="minorEastAsia" w:eastAsiaTheme="minorEastAsia" w:cstheme="minorEastAsia"/>
          <w:sz w:val="21"/>
        </w:rPr>
      </w:pPr>
    </w:p>
    <w:p>
      <w:pPr>
        <w:ind w:firstLine="0" w:firstLineChars="0"/>
        <w:jc w:val="center"/>
        <w:rPr>
          <w:rFonts w:hint="eastAsia" w:asciiTheme="minorEastAsia" w:hAnsiTheme="minorEastAsia" w:eastAsiaTheme="minorEastAsia" w:cstheme="minorEastAsia"/>
          <w:b/>
          <w:bCs/>
          <w:sz w:val="44"/>
          <w:szCs w:val="44"/>
          <w:lang w:eastAsia="zh-CN"/>
        </w:rPr>
      </w:pPr>
      <w:r>
        <w:rPr>
          <w:rFonts w:hint="eastAsia" w:asciiTheme="minorEastAsia" w:hAnsiTheme="minorEastAsia" w:eastAsiaTheme="minorEastAsia" w:cstheme="minorEastAsia"/>
          <w:b/>
          <w:bCs/>
          <w:sz w:val="44"/>
          <w:szCs w:val="44"/>
          <w:lang w:eastAsia="zh-CN"/>
        </w:rPr>
        <w:t>霍山县兴水生态工程社会稳定风险评估项目</w:t>
      </w:r>
    </w:p>
    <w:p>
      <w:pPr>
        <w:widowControl/>
        <w:spacing w:line="312" w:lineRule="auto"/>
        <w:ind w:firstLine="442"/>
        <w:rPr>
          <w:rFonts w:hint="eastAsia" w:asciiTheme="minorEastAsia" w:hAnsiTheme="minorEastAsia" w:eastAsiaTheme="minorEastAsia" w:cstheme="minorEastAsia"/>
          <w:b/>
          <w:bCs/>
          <w:szCs w:val="21"/>
        </w:rPr>
      </w:pPr>
    </w:p>
    <w:p>
      <w:pPr>
        <w:pStyle w:val="15"/>
        <w:spacing w:line="312" w:lineRule="auto"/>
        <w:ind w:firstLine="442"/>
        <w:rPr>
          <w:rFonts w:hint="eastAsia" w:asciiTheme="minorEastAsia" w:hAnsiTheme="minorEastAsia" w:eastAsiaTheme="minorEastAsia" w:cstheme="minorEastAsia"/>
          <w:b/>
          <w:bCs/>
          <w:kern w:val="0"/>
          <w:szCs w:val="21"/>
        </w:rPr>
      </w:pPr>
    </w:p>
    <w:p>
      <w:pPr>
        <w:pStyle w:val="15"/>
        <w:spacing w:line="312" w:lineRule="auto"/>
        <w:ind w:firstLine="442"/>
        <w:rPr>
          <w:rFonts w:hint="eastAsia" w:asciiTheme="minorEastAsia" w:hAnsiTheme="minorEastAsia" w:eastAsiaTheme="minorEastAsia" w:cstheme="minorEastAsia"/>
          <w:b/>
          <w:bCs/>
          <w:kern w:val="0"/>
          <w:szCs w:val="21"/>
        </w:rPr>
      </w:pPr>
    </w:p>
    <w:p>
      <w:pPr>
        <w:pStyle w:val="16"/>
        <w:rPr>
          <w:rFonts w:hint="eastAsia"/>
        </w:rPr>
      </w:pPr>
    </w:p>
    <w:p>
      <w:pPr>
        <w:pStyle w:val="15"/>
        <w:spacing w:line="312" w:lineRule="auto"/>
        <w:ind w:firstLine="442"/>
        <w:rPr>
          <w:rFonts w:hint="eastAsia" w:asciiTheme="minorEastAsia" w:hAnsiTheme="minorEastAsia" w:eastAsiaTheme="minorEastAsia" w:cstheme="minorEastAsia"/>
          <w:b/>
          <w:bCs/>
          <w:kern w:val="0"/>
          <w:szCs w:val="21"/>
        </w:rPr>
      </w:pPr>
    </w:p>
    <w:p>
      <w:pPr>
        <w:widowControl/>
        <w:spacing w:line="312" w:lineRule="auto"/>
        <w:ind w:firstLine="442"/>
        <w:rPr>
          <w:rFonts w:hint="eastAsia" w:asciiTheme="minorEastAsia" w:hAnsiTheme="minorEastAsia" w:eastAsiaTheme="minorEastAsia" w:cstheme="minorEastAsia"/>
          <w:b/>
          <w:bCs/>
          <w:szCs w:val="21"/>
        </w:rPr>
      </w:pPr>
    </w:p>
    <w:p>
      <w:pPr>
        <w:widowControl/>
        <w:spacing w:line="312" w:lineRule="auto"/>
        <w:ind w:firstLine="442"/>
        <w:rPr>
          <w:rFonts w:hint="eastAsia" w:asciiTheme="minorEastAsia" w:hAnsiTheme="minorEastAsia" w:eastAsiaTheme="minorEastAsia" w:cstheme="minorEastAsia"/>
          <w:b/>
          <w:bCs/>
          <w:szCs w:val="21"/>
        </w:rPr>
      </w:pPr>
    </w:p>
    <w:p>
      <w:pPr>
        <w:widowControl/>
        <w:spacing w:line="312" w:lineRule="auto"/>
        <w:ind w:firstLine="0" w:firstLineChars="0"/>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询比采购文件</w:t>
      </w:r>
    </w:p>
    <w:p>
      <w:pPr>
        <w:widowControl/>
        <w:spacing w:line="312" w:lineRule="auto"/>
        <w:ind w:firstLine="562"/>
        <w:jc w:val="center"/>
        <w:rPr>
          <w:rFonts w:hint="eastAsia" w:asciiTheme="minorEastAsia" w:hAnsiTheme="minorEastAsia" w:eastAsiaTheme="minorEastAsia" w:cstheme="minorEastAsia"/>
          <w:b/>
          <w:bCs/>
          <w:sz w:val="28"/>
          <w:szCs w:val="28"/>
        </w:rPr>
      </w:pPr>
    </w:p>
    <w:p>
      <w:pPr>
        <w:widowControl/>
        <w:spacing w:line="312" w:lineRule="auto"/>
        <w:ind w:firstLine="442"/>
        <w:rPr>
          <w:rFonts w:hint="eastAsia" w:asciiTheme="minorEastAsia" w:hAnsiTheme="minorEastAsia" w:eastAsiaTheme="minorEastAsia" w:cstheme="minorEastAsia"/>
          <w:b/>
          <w:bCs/>
          <w:szCs w:val="21"/>
        </w:rPr>
      </w:pPr>
    </w:p>
    <w:p>
      <w:pPr>
        <w:widowControl/>
        <w:spacing w:line="312" w:lineRule="auto"/>
        <w:ind w:firstLine="442"/>
        <w:rPr>
          <w:rFonts w:hint="eastAsia" w:asciiTheme="minorEastAsia" w:hAnsiTheme="minorEastAsia" w:eastAsiaTheme="minorEastAsia" w:cstheme="minorEastAsia"/>
          <w:b/>
          <w:bCs/>
          <w:szCs w:val="21"/>
        </w:rPr>
      </w:pPr>
    </w:p>
    <w:p>
      <w:pPr>
        <w:widowControl/>
        <w:spacing w:line="312" w:lineRule="auto"/>
        <w:ind w:firstLine="442"/>
        <w:rPr>
          <w:rFonts w:hint="eastAsia" w:asciiTheme="minorEastAsia" w:hAnsiTheme="minorEastAsia" w:eastAsiaTheme="minorEastAsia" w:cstheme="minorEastAsia"/>
          <w:b/>
          <w:bCs/>
          <w:szCs w:val="21"/>
        </w:rPr>
      </w:pPr>
    </w:p>
    <w:p>
      <w:pPr>
        <w:pStyle w:val="15"/>
        <w:ind w:firstLine="442"/>
        <w:rPr>
          <w:rFonts w:hint="eastAsia" w:asciiTheme="minorEastAsia" w:hAnsiTheme="minorEastAsia" w:eastAsiaTheme="minorEastAsia" w:cstheme="minorEastAsia"/>
          <w:b/>
          <w:bCs/>
          <w:kern w:val="0"/>
          <w:szCs w:val="21"/>
        </w:rPr>
      </w:pPr>
    </w:p>
    <w:p>
      <w:pPr>
        <w:pStyle w:val="15"/>
        <w:ind w:firstLine="442"/>
        <w:rPr>
          <w:rFonts w:hint="eastAsia" w:asciiTheme="minorEastAsia" w:hAnsiTheme="minorEastAsia" w:eastAsiaTheme="minorEastAsia" w:cstheme="minorEastAsia"/>
          <w:b/>
          <w:bCs/>
          <w:kern w:val="0"/>
          <w:szCs w:val="21"/>
        </w:rPr>
      </w:pPr>
    </w:p>
    <w:p>
      <w:pPr>
        <w:widowControl/>
        <w:spacing w:line="312" w:lineRule="auto"/>
        <w:ind w:firstLine="602"/>
        <w:jc w:val="center"/>
        <w:rPr>
          <w:rFonts w:hint="eastAsia" w:asciiTheme="minorEastAsia" w:hAnsiTheme="minorEastAsia" w:eastAsiaTheme="minorEastAsia" w:cstheme="minorEastAsia"/>
          <w:b/>
          <w:bCs/>
          <w:sz w:val="30"/>
          <w:szCs w:val="30"/>
        </w:rPr>
      </w:pPr>
    </w:p>
    <w:p>
      <w:pPr>
        <w:widowControl/>
        <w:spacing w:line="312" w:lineRule="auto"/>
        <w:ind w:firstLine="602"/>
        <w:jc w:val="center"/>
        <w:rPr>
          <w:rFonts w:hint="eastAsia" w:asciiTheme="minorEastAsia" w:hAnsiTheme="minorEastAsia" w:eastAsiaTheme="minorEastAsia" w:cstheme="minorEastAsia"/>
          <w:b/>
          <w:bCs/>
          <w:sz w:val="30"/>
          <w:szCs w:val="30"/>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widowControl/>
        <w:spacing w:line="312" w:lineRule="auto"/>
        <w:ind w:firstLine="0" w:firstLineChars="0"/>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安徽大别山工程咨询有限公司</w:t>
      </w:r>
    </w:p>
    <w:p>
      <w:pPr>
        <w:widowControl/>
        <w:spacing w:line="312" w:lineRule="auto"/>
        <w:ind w:firstLine="0" w:firstLineChars="0"/>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二〇二〇年</w:t>
      </w:r>
      <w:r>
        <w:rPr>
          <w:rFonts w:hint="eastAsia" w:asciiTheme="minorEastAsia" w:hAnsiTheme="minorEastAsia" w:eastAsiaTheme="minorEastAsia" w:cstheme="minorEastAsia"/>
          <w:b/>
          <w:bCs/>
          <w:sz w:val="36"/>
          <w:szCs w:val="36"/>
          <w:lang w:val="en-US" w:eastAsia="zh-CN"/>
        </w:rPr>
        <w:t>七</w:t>
      </w:r>
      <w:r>
        <w:rPr>
          <w:rFonts w:hint="eastAsia" w:asciiTheme="minorEastAsia" w:hAnsiTheme="minorEastAsia" w:eastAsiaTheme="minorEastAsia" w:cstheme="minorEastAsia"/>
          <w:b/>
          <w:bCs/>
          <w:sz w:val="36"/>
          <w:szCs w:val="36"/>
        </w:rPr>
        <w:t>月</w:t>
      </w:r>
    </w:p>
    <w:p>
      <w:pPr>
        <w:pStyle w:val="15"/>
        <w:ind w:firstLine="420"/>
        <w:rPr>
          <w:rFonts w:hint="eastAsia" w:asciiTheme="minorEastAsia" w:hAnsiTheme="minorEastAsia" w:eastAsiaTheme="minorEastAsia" w:cstheme="minorEastAsia"/>
          <w:sz w:val="21"/>
        </w:rPr>
      </w:pPr>
    </w:p>
    <w:p>
      <w:pPr>
        <w:pStyle w:val="15"/>
        <w:ind w:firstLine="420"/>
        <w:rPr>
          <w:rFonts w:hint="eastAsia" w:asciiTheme="minorEastAsia" w:hAnsiTheme="minorEastAsia" w:eastAsiaTheme="minorEastAsia" w:cstheme="minorEastAsia"/>
          <w:sz w:val="21"/>
        </w:rPr>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numRestart w:val="eachPage"/>
          </w:footnotePr>
          <w:pgSz w:w="11906" w:h="16838"/>
          <w:pgMar w:top="1418" w:right="1304" w:bottom="1418" w:left="1588" w:header="851" w:footer="851" w:gutter="0"/>
          <w:pgNumType w:fmt="numberInDash" w:start="1"/>
          <w:cols w:space="720" w:num="1"/>
          <w:titlePg/>
          <w:docGrid w:linePitch="312" w:charSpace="0"/>
        </w:sectPr>
      </w:pPr>
    </w:p>
    <w:p>
      <w:pPr>
        <w:spacing w:line="400" w:lineRule="exact"/>
        <w:ind w:firstLine="440"/>
        <w:rPr>
          <w:rFonts w:hint="eastAsia" w:asciiTheme="minorEastAsia" w:hAnsiTheme="minorEastAsia" w:eastAsiaTheme="minorEastAsia" w:cstheme="minorEastAsia"/>
        </w:rPr>
      </w:pPr>
    </w:p>
    <w:p>
      <w:pPr>
        <w:spacing w:line="240" w:lineRule="auto"/>
        <w:ind w:firstLine="0" w:firstLineChars="0"/>
        <w:jc w:val="center"/>
        <w:rPr>
          <w:rFonts w:hint="eastAsia" w:asciiTheme="minorEastAsia" w:hAnsiTheme="minorEastAsia" w:eastAsiaTheme="minorEastAsia" w:cstheme="minorEastAsia"/>
          <w:b/>
          <w:bCs/>
          <w:sz w:val="44"/>
          <w:szCs w:val="36"/>
        </w:rPr>
      </w:pPr>
      <w:bookmarkStart w:id="0" w:name="_Toc11949_WPSOffice_Type1"/>
      <w:r>
        <w:rPr>
          <w:rFonts w:hint="eastAsia" w:asciiTheme="minorEastAsia" w:hAnsiTheme="minorEastAsia" w:eastAsiaTheme="minorEastAsia" w:cstheme="minorEastAsia"/>
          <w:b/>
          <w:bCs/>
          <w:sz w:val="40"/>
          <w:szCs w:val="36"/>
        </w:rPr>
        <w:t>目 录</w:t>
      </w:r>
    </w:p>
    <w:p>
      <w:pPr>
        <w:pStyle w:val="59"/>
        <w:tabs>
          <w:tab w:val="right" w:leader="dot" w:pos="9072"/>
        </w:tabs>
        <w:rPr>
          <w:rFonts w:hint="eastAsia" w:asciiTheme="minorEastAsia" w:hAnsiTheme="minorEastAsia" w:eastAsiaTheme="minorEastAsia" w:cstheme="minorEastAsia"/>
        </w:rPr>
      </w:pPr>
    </w:p>
    <w:bookmarkEnd w:id="0"/>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28"/>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TOC \o "1-1" \h \z \u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"_Toc18573036" </w:instrText>
      </w:r>
      <w:r>
        <w:rPr>
          <w:rFonts w:hint="eastAsia" w:asciiTheme="minorEastAsia" w:hAnsiTheme="minorEastAsia" w:eastAsiaTheme="minorEastAsia" w:cstheme="minorEastAsia"/>
          <w:sz w:val="28"/>
          <w:szCs w:val="28"/>
        </w:rPr>
        <w:fldChar w:fldCharType="separate"/>
      </w:r>
      <w:r>
        <w:rPr>
          <w:rStyle w:val="47"/>
          <w:rFonts w:hint="eastAsia" w:asciiTheme="minorEastAsia" w:hAnsiTheme="minorEastAsia" w:eastAsiaTheme="minorEastAsia" w:cstheme="minorEastAsia"/>
          <w:sz w:val="28"/>
          <w:szCs w:val="28"/>
        </w:rPr>
        <w:t xml:space="preserve">第一章 </w:t>
      </w:r>
      <w:r>
        <w:rPr>
          <w:rStyle w:val="47"/>
          <w:rFonts w:hint="eastAsia" w:asciiTheme="minorEastAsia" w:hAnsiTheme="minorEastAsia" w:eastAsiaTheme="minorEastAsia" w:cstheme="minorEastAsia"/>
          <w:sz w:val="28"/>
          <w:szCs w:val="28"/>
          <w:lang w:val="en-US"/>
        </w:rPr>
        <w:t xml:space="preserve"> </w:t>
      </w:r>
      <w:r>
        <w:rPr>
          <w:rStyle w:val="47"/>
          <w:rFonts w:hint="eastAsia" w:asciiTheme="minorEastAsia" w:hAnsiTheme="minorEastAsia" w:eastAsiaTheme="minorEastAsia" w:cstheme="minorEastAsia"/>
          <w:sz w:val="28"/>
          <w:szCs w:val="28"/>
        </w:rPr>
        <w:t>询比采购公告</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_Toc18573036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"_Toc18573037" </w:instrText>
      </w:r>
      <w:r>
        <w:rPr>
          <w:rFonts w:hint="eastAsia" w:asciiTheme="minorEastAsia" w:hAnsiTheme="minorEastAsia" w:eastAsiaTheme="minorEastAsia" w:cstheme="minorEastAsia"/>
          <w:sz w:val="28"/>
          <w:szCs w:val="28"/>
        </w:rPr>
        <w:fldChar w:fldCharType="separate"/>
      </w:r>
      <w:r>
        <w:rPr>
          <w:rStyle w:val="47"/>
          <w:rFonts w:hint="eastAsia" w:asciiTheme="minorEastAsia" w:hAnsiTheme="minorEastAsia" w:eastAsiaTheme="minorEastAsia" w:cstheme="minorEastAsia"/>
          <w:sz w:val="28"/>
          <w:szCs w:val="28"/>
        </w:rPr>
        <w:t>第二章  服务商须知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p>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"_Toc18573038" </w:instrText>
      </w:r>
      <w:r>
        <w:rPr>
          <w:rFonts w:hint="eastAsia" w:asciiTheme="minorEastAsia" w:hAnsiTheme="minorEastAsia" w:eastAsiaTheme="minorEastAsia" w:cstheme="minorEastAsia"/>
          <w:sz w:val="28"/>
          <w:szCs w:val="28"/>
        </w:rPr>
        <w:fldChar w:fldCharType="separate"/>
      </w:r>
      <w:r>
        <w:rPr>
          <w:rStyle w:val="47"/>
          <w:rFonts w:hint="eastAsia" w:asciiTheme="minorEastAsia" w:hAnsiTheme="minorEastAsia" w:eastAsiaTheme="minorEastAsia" w:cstheme="minorEastAsia"/>
          <w:sz w:val="28"/>
          <w:szCs w:val="28"/>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rPr>
        <w:fldChar w:fldCharType="end"/>
      </w:r>
    </w:p>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"_Toc18573040" </w:instrText>
      </w:r>
      <w:r>
        <w:rPr>
          <w:rFonts w:hint="eastAsia" w:asciiTheme="minorEastAsia" w:hAnsiTheme="minorEastAsia" w:eastAsiaTheme="minorEastAsia" w:cstheme="minorEastAsia"/>
          <w:sz w:val="28"/>
          <w:szCs w:val="28"/>
        </w:rPr>
        <w:fldChar w:fldCharType="separate"/>
      </w:r>
      <w:r>
        <w:rPr>
          <w:rStyle w:val="47"/>
          <w:rFonts w:hint="eastAsia" w:asciiTheme="minorEastAsia" w:hAnsiTheme="minorEastAsia" w:eastAsiaTheme="minorEastAsia" w:cstheme="minorEastAsia"/>
          <w:sz w:val="28"/>
          <w:szCs w:val="28"/>
        </w:rPr>
        <w:t>第四章  采购需求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_Toc18573040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32"/>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"_Toc18573041" </w:instrText>
      </w:r>
      <w:r>
        <w:rPr>
          <w:rFonts w:hint="eastAsia" w:asciiTheme="minorEastAsia" w:hAnsiTheme="minorEastAsia" w:eastAsiaTheme="minorEastAsia" w:cstheme="minorEastAsia"/>
          <w:sz w:val="28"/>
          <w:szCs w:val="28"/>
        </w:rPr>
        <w:fldChar w:fldCharType="separate"/>
      </w:r>
      <w:r>
        <w:rPr>
          <w:rStyle w:val="47"/>
          <w:rFonts w:hint="eastAsia" w:asciiTheme="minorEastAsia" w:hAnsiTheme="minorEastAsia" w:eastAsiaTheme="minorEastAsia" w:cstheme="minorEastAsia"/>
          <w:sz w:val="28"/>
          <w:szCs w:val="28"/>
        </w:rPr>
        <w:t xml:space="preserve">第五章  </w:t>
      </w:r>
      <w:r>
        <w:rPr>
          <w:rStyle w:val="47"/>
          <w:rFonts w:hint="eastAsia" w:asciiTheme="minorEastAsia" w:hAnsiTheme="minorEastAsia" w:eastAsiaTheme="minorEastAsia" w:cstheme="minorEastAsia"/>
          <w:sz w:val="28"/>
          <w:szCs w:val="28"/>
          <w:lang w:val="en-US"/>
        </w:rPr>
        <w:t>询比</w:t>
      </w:r>
      <w:r>
        <w:rPr>
          <w:rStyle w:val="47"/>
          <w:rFonts w:hint="eastAsia" w:asciiTheme="minorEastAsia" w:hAnsiTheme="minorEastAsia" w:eastAsiaTheme="minorEastAsia" w:cstheme="minorEastAsia"/>
          <w:sz w:val="28"/>
          <w:szCs w:val="28"/>
        </w:rPr>
        <w:t>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_Toc18573041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59"/>
        <w:tabs>
          <w:tab w:val="right" w:leader="dot" w:pos="9072"/>
        </w:tabs>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fldChar w:fldCharType="end"/>
      </w:r>
    </w:p>
    <w:p>
      <w:pPr>
        <w:spacing w:line="400" w:lineRule="exact"/>
        <w:ind w:firstLine="640"/>
        <w:jc w:val="both"/>
        <w:rPr>
          <w:rFonts w:hint="eastAsia" w:asciiTheme="minorEastAsia" w:hAnsiTheme="minorEastAsia" w:eastAsiaTheme="minorEastAsia" w:cstheme="minorEastAsia"/>
          <w:snapToGrid w:val="0"/>
          <w:sz w:val="32"/>
          <w:szCs w:val="32"/>
        </w:rPr>
      </w:pPr>
    </w:p>
    <w:p>
      <w:pPr>
        <w:spacing w:line="400" w:lineRule="exact"/>
        <w:ind w:firstLine="640"/>
        <w:jc w:val="both"/>
        <w:rPr>
          <w:rFonts w:hint="eastAsia" w:asciiTheme="minorEastAsia" w:hAnsiTheme="minorEastAsia" w:eastAsiaTheme="minorEastAsia" w:cstheme="minorEastAsia"/>
          <w:snapToGrid w:val="0"/>
          <w:sz w:val="32"/>
          <w:szCs w:val="32"/>
        </w:rPr>
      </w:pPr>
    </w:p>
    <w:p>
      <w:pPr>
        <w:spacing w:line="400" w:lineRule="exact"/>
        <w:ind w:firstLine="640"/>
        <w:jc w:val="both"/>
        <w:rPr>
          <w:rFonts w:hint="eastAsia" w:asciiTheme="minorEastAsia" w:hAnsiTheme="minorEastAsia" w:eastAsiaTheme="minorEastAsia" w:cstheme="minorEastAsia"/>
          <w:snapToGrid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sectPr>
          <w:headerReference r:id="rId9" w:type="default"/>
          <w:footerReference r:id="rId10" w:type="default"/>
          <w:footnotePr>
            <w:numFmt w:val="decimalEnclosedCircleChinese"/>
            <w:numRestart w:val="eachPage"/>
          </w:footnotePr>
          <w:pgSz w:w="11906" w:h="16838"/>
          <w:pgMar w:top="1417" w:right="1417" w:bottom="1417" w:left="1417" w:header="851" w:footer="850" w:gutter="0"/>
          <w:pgNumType w:start="1"/>
          <w:cols w:space="720" w:num="1"/>
          <w:docGrid w:linePitch="312" w:charSpace="0"/>
        </w:sectPr>
      </w:pPr>
    </w:p>
    <w:p>
      <w:pPr>
        <w:pStyle w:val="5"/>
        <w:rPr>
          <w:rFonts w:hint="eastAsia" w:asciiTheme="minorEastAsia" w:hAnsiTheme="minorEastAsia" w:eastAsiaTheme="minorEastAsia" w:cstheme="minorEastAsia"/>
          <w:b/>
          <w:bCs w:val="0"/>
          <w:sz w:val="32"/>
          <w:szCs w:val="32"/>
        </w:rPr>
      </w:pPr>
      <w:bookmarkStart w:id="1" w:name="_Toc18573036"/>
      <w:bookmarkStart w:id="2" w:name="_Toc7412_WPSOffice_Level1"/>
      <w:r>
        <w:rPr>
          <w:rFonts w:hint="eastAsia" w:asciiTheme="minorEastAsia" w:hAnsiTheme="minorEastAsia" w:eastAsiaTheme="minorEastAsia" w:cstheme="minorEastAsia"/>
          <w:b/>
          <w:bCs w:val="0"/>
          <w:sz w:val="32"/>
          <w:szCs w:val="32"/>
        </w:rPr>
        <w:t>第一章 询比采购公告</w:t>
      </w:r>
      <w:bookmarkEnd w:id="1"/>
      <w:bookmarkEnd w:id="2"/>
    </w:p>
    <w:p>
      <w:pPr>
        <w:ind w:firstLine="0" w:firstLineChars="0"/>
        <w:jc w:val="center"/>
        <w:rPr>
          <w:rFonts w:hint="eastAsia"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lang w:val="en-US" w:eastAsia="zh-CN"/>
          <w14:textFill>
            <w14:solidFill>
              <w14:schemeClr w14:val="tx1"/>
            </w14:solidFill>
          </w14:textFill>
        </w:rPr>
        <w:t>DBSCG-2020-068</w:t>
      </w:r>
      <w:r>
        <w:rPr>
          <w:rFonts w:hint="eastAsia" w:asciiTheme="minorEastAsia" w:hAnsiTheme="minorEastAsia" w:eastAsiaTheme="minorEastAsia" w:cstheme="minorEastAsia"/>
          <w:b/>
          <w:bCs/>
          <w:color w:val="000000" w:themeColor="text1"/>
          <w:sz w:val="28"/>
          <w:szCs w:val="28"/>
          <w:lang w:eastAsia="zh-CN"/>
          <w14:textFill>
            <w14:solidFill>
              <w14:schemeClr w14:val="tx1"/>
            </w14:solidFill>
          </w14:textFill>
        </w:rPr>
        <w:t>霍山县兴水生态工程社会稳定风险评估项目</w: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t>询比采购公告</w:t>
      </w:r>
    </w:p>
    <w:p>
      <w:pPr>
        <w:spacing w:line="360" w:lineRule="auto"/>
        <w:ind w:left="0" w:leftChars="0" w:firstLine="440" w:firstLineChars="200"/>
        <w:rPr>
          <w:rFonts w:hint="eastAsia" w:asciiTheme="minorEastAsia" w:hAnsiTheme="minorEastAsia" w:eastAsiaTheme="minorEastAsia" w:cstheme="minorEastAsia"/>
          <w:color w:val="000000" w:themeColor="text1"/>
          <w:szCs w:val="22"/>
          <w14:textFill>
            <w14:solidFill>
              <w14:schemeClr w14:val="tx1"/>
            </w14:solidFill>
          </w14:textFill>
        </w:rPr>
      </w:pPr>
    </w:p>
    <w:p>
      <w:pPr>
        <w:keepNext w:val="0"/>
        <w:keepLines w:val="0"/>
        <w:pageBreakBefore w:val="0"/>
        <w:kinsoku/>
        <w:overflowPunct/>
        <w:topLinePunct w:val="0"/>
        <w:autoSpaceDE/>
        <w:autoSpaceDN/>
        <w:bidi w:val="0"/>
        <w:adjustRightInd/>
        <w:snapToGrid/>
        <w:spacing w:line="440" w:lineRule="exact"/>
        <w:ind w:left="0" w:leftChars="0" w:firstLine="440" w:firstLineChars="200"/>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szCs w:val="22"/>
        </w:rPr>
        <w:t>经安徽大别山国投集团批准，</w:t>
      </w:r>
      <w:r>
        <w:rPr>
          <w:rFonts w:hint="eastAsia" w:asciiTheme="minorEastAsia" w:hAnsiTheme="minorEastAsia" w:eastAsiaTheme="minorEastAsia" w:cstheme="minorEastAsia"/>
          <w:color w:val="auto"/>
          <w:szCs w:val="22"/>
          <w:lang w:val="en-US" w:eastAsia="zh-CN"/>
        </w:rPr>
        <w:t>因</w:t>
      </w:r>
      <w:r>
        <w:rPr>
          <w:rFonts w:hint="eastAsia" w:asciiTheme="minorEastAsia" w:hAnsiTheme="minorEastAsia" w:eastAsiaTheme="minorEastAsia" w:cstheme="minorEastAsia"/>
          <w:color w:val="auto"/>
          <w:szCs w:val="22"/>
          <w:lang w:eastAsia="zh-CN"/>
        </w:rPr>
        <w:t>霍山县兴水生态工程</w:t>
      </w:r>
      <w:r>
        <w:rPr>
          <w:rFonts w:hint="eastAsia" w:asciiTheme="minorEastAsia" w:hAnsiTheme="minorEastAsia" w:eastAsiaTheme="minorEastAsia" w:cstheme="minorEastAsia"/>
          <w:color w:val="auto"/>
          <w:szCs w:val="22"/>
          <w:lang w:val="en-US" w:eastAsia="zh-CN"/>
        </w:rPr>
        <w:t>需要</w:t>
      </w:r>
      <w:r>
        <w:rPr>
          <w:rFonts w:hint="eastAsia" w:asciiTheme="minorEastAsia" w:hAnsiTheme="minorEastAsia" w:eastAsiaTheme="minorEastAsia" w:cstheme="minorEastAsia"/>
          <w:color w:val="auto"/>
          <w:szCs w:val="22"/>
        </w:rPr>
        <w:t>,</w:t>
      </w:r>
      <w:r>
        <w:rPr>
          <w:rFonts w:hint="eastAsia" w:asciiTheme="minorEastAsia" w:hAnsiTheme="minorEastAsia" w:eastAsiaTheme="minorEastAsia" w:cstheme="minorEastAsia"/>
          <w:color w:val="auto"/>
          <w:szCs w:val="22"/>
          <w:lang w:val="en-US" w:eastAsia="zh-CN"/>
        </w:rPr>
        <w:t>现进行社会稳定风险评估，</w:t>
      </w:r>
      <w:r>
        <w:rPr>
          <w:rFonts w:hint="eastAsia" w:asciiTheme="minorEastAsia" w:hAnsiTheme="minorEastAsia" w:eastAsiaTheme="minorEastAsia" w:cstheme="minorEastAsia"/>
          <w:color w:val="auto"/>
          <w:szCs w:val="22"/>
        </w:rPr>
        <w:t>以询比采购方式</w:t>
      </w:r>
      <w:r>
        <w:rPr>
          <w:rFonts w:hint="eastAsia" w:asciiTheme="minorEastAsia" w:hAnsiTheme="minorEastAsia" w:eastAsiaTheme="minorEastAsia" w:cstheme="minorEastAsia"/>
          <w:color w:val="auto"/>
          <w:szCs w:val="22"/>
          <w:lang w:val="en-US" w:eastAsia="zh-CN"/>
        </w:rPr>
        <w:t>进行采购</w:t>
      </w:r>
      <w:r>
        <w:rPr>
          <w:rFonts w:hint="eastAsia" w:asciiTheme="minorEastAsia" w:hAnsiTheme="minorEastAsia" w:eastAsiaTheme="minorEastAsia" w:cstheme="minorEastAsia"/>
          <w:color w:val="auto"/>
          <w:szCs w:val="22"/>
        </w:rPr>
        <w:t>，项目资金已落实,已具备采购条件，</w:t>
      </w:r>
      <w:r>
        <w:rPr>
          <w:rFonts w:hint="eastAsia" w:asciiTheme="minorEastAsia" w:hAnsiTheme="minorEastAsia" w:eastAsiaTheme="minorEastAsia" w:cstheme="minorEastAsia"/>
          <w:color w:val="auto"/>
        </w:rPr>
        <w:t>欢迎符合条件的国内服务商参加</w:t>
      </w:r>
      <w:r>
        <w:rPr>
          <w:rFonts w:hint="eastAsia" w:asciiTheme="minorEastAsia" w:hAnsiTheme="minorEastAsia" w:eastAsiaTheme="minorEastAsia" w:cstheme="minorEastAsia"/>
          <w:color w:val="auto"/>
          <w:lang w:val="en-US" w:eastAsia="zh-CN"/>
        </w:rPr>
        <w:t>询比</w:t>
      </w:r>
      <w:r>
        <w:rPr>
          <w:rFonts w:hint="eastAsia" w:asciiTheme="minorEastAsia" w:hAnsiTheme="minorEastAsia" w:eastAsiaTheme="minorEastAsia" w:cstheme="minorEastAsia"/>
          <w:color w:val="auto"/>
          <w:lang w:eastAsia="zh-CN"/>
        </w:rPr>
        <w:t>。</w:t>
      </w:r>
    </w:p>
    <w:p>
      <w:pPr>
        <w:keepNext w:val="0"/>
        <w:keepLines w:val="0"/>
        <w:pageBreakBefore w:val="0"/>
        <w:kinsoku/>
        <w:overflowPunct/>
        <w:topLinePunct w:val="0"/>
        <w:autoSpaceDE/>
        <w:autoSpaceDN/>
        <w:bidi w:val="0"/>
        <w:adjustRightInd/>
        <w:snapToGrid/>
        <w:spacing w:line="440" w:lineRule="exact"/>
        <w:ind w:left="0" w:leftChars="0" w:firstLine="442" w:firstLineChars="200"/>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一、项目名称及内容</w:t>
      </w:r>
    </w:p>
    <w:p>
      <w:pPr>
        <w:keepNext w:val="0"/>
        <w:keepLines w:val="0"/>
        <w:pageBreakBefore w:val="0"/>
        <w:kinsoku/>
        <w:overflowPunct/>
        <w:topLinePunct w:val="0"/>
        <w:autoSpaceDE/>
        <w:autoSpaceDN/>
        <w:bidi w:val="0"/>
        <w:adjustRightInd/>
        <w:snapToGrid/>
        <w:spacing w:line="440" w:lineRule="exact"/>
        <w:ind w:left="0" w:leftChars="0" w:firstLine="440" w:firstLineChars="20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1.项目名称：</w:t>
      </w:r>
      <w:r>
        <w:rPr>
          <w:rFonts w:hint="eastAsia" w:asciiTheme="minorEastAsia" w:hAnsiTheme="minorEastAsia" w:eastAsiaTheme="minorEastAsia" w:cstheme="minorEastAsia"/>
          <w:color w:val="auto"/>
          <w:szCs w:val="22"/>
          <w:lang w:eastAsia="zh-CN"/>
        </w:rPr>
        <w:t>霍山县兴水生态工程社会稳定风险评估项目。</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2.工程地点：</w:t>
      </w:r>
      <w:r>
        <w:rPr>
          <w:rFonts w:hint="eastAsia" w:asciiTheme="minorEastAsia" w:hAnsiTheme="minorEastAsia" w:eastAsiaTheme="minorEastAsia" w:cstheme="minorEastAsia"/>
          <w:color w:val="auto"/>
          <w:szCs w:val="22"/>
          <w:lang w:val="en-US" w:eastAsia="zh-CN"/>
        </w:rPr>
        <w:t>霍山县</w:t>
      </w:r>
      <w:r>
        <w:rPr>
          <w:rFonts w:hint="eastAsia" w:asciiTheme="minorEastAsia" w:hAnsiTheme="minorEastAsia" w:eastAsiaTheme="minorEastAsia" w:cstheme="minorEastAsia"/>
          <w:color w:val="auto"/>
          <w:szCs w:val="22"/>
          <w:lang w:eastAsia="zh-CN"/>
        </w:rPr>
        <w:t>。</w:t>
      </w:r>
    </w:p>
    <w:p>
      <w:pPr>
        <w:spacing w:line="360" w:lineRule="auto"/>
        <w:ind w:firstLine="440" w:firstLineChars="200"/>
        <w:rPr>
          <w:rFonts w:hint="eastAsia" w:asciiTheme="minorEastAsia" w:hAnsiTheme="minorEastAsia" w:eastAsiaTheme="minorEastAsia" w:cstheme="minorEastAsia"/>
          <w:color w:val="auto"/>
          <w:kern w:val="0"/>
          <w:sz w:val="22"/>
          <w:szCs w:val="22"/>
          <w:lang w:val="en-US" w:eastAsia="zh-CN" w:bidi="ar-SA"/>
        </w:rPr>
      </w:pPr>
      <w:r>
        <w:rPr>
          <w:rFonts w:hint="eastAsia" w:asciiTheme="minorEastAsia" w:hAnsiTheme="minorEastAsia" w:eastAsiaTheme="minorEastAsia" w:cstheme="minorEastAsia"/>
          <w:color w:val="auto"/>
          <w:kern w:val="0"/>
          <w:sz w:val="22"/>
          <w:szCs w:val="22"/>
          <w:lang w:val="en-US" w:eastAsia="zh-CN" w:bidi="ar-SA"/>
        </w:rPr>
        <w:t>3.项目概况：霍山县兴水生态工程报批总投资为8.2亿元，包括供水工程和排水工程，其中供水工程主要包括规模化供水工程、新建小型集中供水工程和集中供水改造；排水工程主要包括：安徽霍山经济开发区污水处理厂二期（日处理能力2万吨）及污水管网建设项目、西部迎驾生态新城污水处理厂工程（日处理能力2万吨）、城区雨污分流及污水截流改造工程；现对霍山县兴水生态工程开展社会稳定风险评估工作，并编制社会稳定风险评估报告。</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4.标段划分：共</w:t>
      </w:r>
      <w:r>
        <w:rPr>
          <w:rFonts w:hint="eastAsia" w:asciiTheme="minorEastAsia" w:hAnsiTheme="minorEastAsia" w:eastAsiaTheme="minorEastAsia" w:cstheme="minorEastAsia"/>
          <w:color w:val="auto"/>
          <w:szCs w:val="22"/>
          <w:lang w:val="en-US" w:eastAsia="zh-CN"/>
        </w:rPr>
        <w:t>1</w:t>
      </w:r>
      <w:r>
        <w:rPr>
          <w:rFonts w:hint="eastAsia" w:asciiTheme="minorEastAsia" w:hAnsiTheme="minorEastAsia" w:eastAsiaTheme="minorEastAsia" w:cstheme="minorEastAsia"/>
          <w:color w:val="auto"/>
          <w:szCs w:val="22"/>
        </w:rPr>
        <w:t>个包</w:t>
      </w:r>
      <w:r>
        <w:rPr>
          <w:rFonts w:hint="eastAsia" w:asciiTheme="minorEastAsia" w:hAnsiTheme="minorEastAsia" w:eastAsiaTheme="minorEastAsia" w:cstheme="minorEastAsia"/>
          <w:color w:val="auto"/>
          <w:szCs w:val="22"/>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5.项目类别：服务类</w:t>
      </w:r>
      <w:r>
        <w:rPr>
          <w:rFonts w:hint="eastAsia" w:asciiTheme="minorEastAsia" w:hAnsiTheme="minorEastAsia" w:eastAsiaTheme="minorEastAsia" w:cstheme="minorEastAsia"/>
          <w:color w:val="auto"/>
          <w:szCs w:val="22"/>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6.项目预算价：</w:t>
      </w:r>
      <w:r>
        <w:rPr>
          <w:rFonts w:hint="eastAsia" w:asciiTheme="minorEastAsia" w:hAnsiTheme="minorEastAsia" w:eastAsiaTheme="minorEastAsia" w:cstheme="minorEastAsia"/>
          <w:color w:val="auto"/>
          <w:szCs w:val="22"/>
          <w:lang w:val="en-US" w:eastAsia="zh-CN"/>
        </w:rPr>
        <w:t>10</w:t>
      </w:r>
      <w:r>
        <w:rPr>
          <w:rFonts w:hint="eastAsia" w:asciiTheme="minorEastAsia" w:hAnsiTheme="minorEastAsia" w:eastAsiaTheme="minorEastAsia" w:cstheme="minorEastAsia"/>
          <w:color w:val="auto"/>
          <w:szCs w:val="22"/>
          <w:lang w:eastAsia="zh-CN"/>
        </w:rPr>
        <w:t>万</w:t>
      </w:r>
      <w:r>
        <w:rPr>
          <w:rFonts w:hint="eastAsia" w:asciiTheme="minorEastAsia" w:hAnsiTheme="minorEastAsia" w:eastAsiaTheme="minorEastAsia" w:cstheme="minorEastAsia"/>
          <w:color w:val="auto"/>
          <w:szCs w:val="22"/>
        </w:rPr>
        <w:t>元</w:t>
      </w:r>
      <w:r>
        <w:rPr>
          <w:rFonts w:hint="eastAsia" w:asciiTheme="minorEastAsia" w:hAnsiTheme="minorEastAsia" w:eastAsiaTheme="minorEastAsia" w:cstheme="minorEastAsia"/>
          <w:color w:val="auto"/>
          <w:szCs w:val="22"/>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7.项目</w:t>
      </w:r>
      <w:r>
        <w:rPr>
          <w:rFonts w:hint="eastAsia" w:asciiTheme="minorEastAsia" w:hAnsiTheme="minorEastAsia" w:eastAsiaTheme="minorEastAsia" w:cstheme="minorEastAsia"/>
          <w:color w:val="auto"/>
          <w:szCs w:val="22"/>
          <w:lang w:val="en-US" w:eastAsia="zh-CN"/>
        </w:rPr>
        <w:t>最高限价</w:t>
      </w:r>
      <w:r>
        <w:rPr>
          <w:rFonts w:hint="eastAsia" w:asciiTheme="minorEastAsia" w:hAnsiTheme="minorEastAsia" w:eastAsiaTheme="minorEastAsia" w:cstheme="minorEastAsia"/>
          <w:color w:val="auto"/>
          <w:szCs w:val="22"/>
        </w:rPr>
        <w:t>：</w:t>
      </w:r>
      <w:r>
        <w:rPr>
          <w:rFonts w:hint="eastAsia" w:asciiTheme="minorEastAsia" w:hAnsiTheme="minorEastAsia" w:eastAsiaTheme="minorEastAsia" w:cstheme="minorEastAsia"/>
          <w:color w:val="auto"/>
          <w:szCs w:val="22"/>
          <w:lang w:val="en-US" w:eastAsia="zh-CN"/>
        </w:rPr>
        <w:t>10万元</w:t>
      </w:r>
      <w:r>
        <w:rPr>
          <w:rFonts w:hint="eastAsia" w:asciiTheme="minorEastAsia" w:hAnsiTheme="minorEastAsia" w:eastAsiaTheme="minorEastAsia" w:cstheme="minorEastAsia"/>
          <w:color w:val="auto"/>
          <w:szCs w:val="22"/>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val="en-US" w:eastAsia="zh-CN"/>
        </w:rPr>
      </w:pPr>
      <w:r>
        <w:rPr>
          <w:rFonts w:hint="eastAsia" w:asciiTheme="minorEastAsia" w:hAnsiTheme="minorEastAsia" w:eastAsiaTheme="minorEastAsia" w:cstheme="minorEastAsia"/>
          <w:color w:val="auto"/>
          <w:szCs w:val="22"/>
        </w:rPr>
        <w:t>8.</w:t>
      </w:r>
      <w:r>
        <w:rPr>
          <w:rFonts w:hint="eastAsia" w:asciiTheme="minorEastAsia" w:hAnsiTheme="minorEastAsia" w:eastAsiaTheme="minorEastAsia" w:cstheme="minorEastAsia"/>
          <w:color w:val="auto"/>
          <w:szCs w:val="22"/>
          <w:lang w:eastAsia="zh-CN"/>
        </w:rPr>
        <w:t>服务</w:t>
      </w:r>
      <w:r>
        <w:rPr>
          <w:rFonts w:hint="eastAsia" w:asciiTheme="minorEastAsia" w:hAnsiTheme="minorEastAsia" w:eastAsiaTheme="minorEastAsia" w:cstheme="minorEastAsia"/>
          <w:color w:val="auto"/>
          <w:szCs w:val="22"/>
        </w:rPr>
        <w:t>期：</w:t>
      </w:r>
      <w:r>
        <w:rPr>
          <w:rFonts w:hint="eastAsia" w:asciiTheme="minorEastAsia" w:hAnsiTheme="minorEastAsia" w:eastAsiaTheme="minorEastAsia" w:cstheme="minorEastAsia"/>
          <w:color w:val="auto"/>
          <w:szCs w:val="22"/>
          <w:lang w:val="en-US" w:eastAsia="zh-CN"/>
        </w:rPr>
        <w:t>合同生效后15天内完成报告（一式八份）。</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lang w:eastAsia="zh-CN"/>
        </w:rPr>
      </w:pPr>
      <w:r>
        <w:rPr>
          <w:rFonts w:hint="eastAsia" w:asciiTheme="minorEastAsia" w:hAnsiTheme="minorEastAsia" w:eastAsiaTheme="minorEastAsia" w:cstheme="minorEastAsia"/>
          <w:b/>
          <w:bCs/>
          <w:color w:val="auto"/>
        </w:rPr>
        <w:t>二、服务商资格要求</w:t>
      </w:r>
      <w:r>
        <w:rPr>
          <w:rFonts w:hint="eastAsia" w:asciiTheme="minorEastAsia" w:hAnsiTheme="minorEastAsia" w:eastAsiaTheme="minorEastAsia" w:cstheme="minorEastAsia"/>
          <w:b/>
          <w:bCs/>
          <w:color w:val="auto"/>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rPr>
      </w:pPr>
      <w:bookmarkStart w:id="3" w:name="_Toc9964"/>
      <w:bookmarkStart w:id="4" w:name="_Toc5325"/>
      <w:bookmarkStart w:id="5" w:name="_Toc16227"/>
      <w:r>
        <w:rPr>
          <w:rFonts w:hint="eastAsia" w:asciiTheme="minorEastAsia" w:hAnsiTheme="minorEastAsia" w:eastAsiaTheme="minorEastAsia" w:cstheme="minorEastAsia"/>
          <w:color w:val="auto"/>
        </w:rPr>
        <w:t>1.具备独立法人资格，持有有效的营业执照；</w:t>
      </w:r>
    </w:p>
    <w:p>
      <w:pPr>
        <w:pStyle w:val="69"/>
        <w:keepNext w:val="0"/>
        <w:keepLines w:val="0"/>
        <w:pageBreakBefore w:val="0"/>
        <w:kinsoku/>
        <w:overflowPunct/>
        <w:topLinePunct w:val="0"/>
        <w:autoSpaceDE/>
        <w:autoSpaceDN/>
        <w:bidi w:val="0"/>
        <w:adjustRightInd/>
        <w:snapToGrid/>
        <w:spacing w:line="440" w:lineRule="exact"/>
        <w:ind w:firstLine="440" w:firstLineChars="200"/>
        <w:textAlignment w:val="auto"/>
        <w:rPr>
          <w:rFonts w:hint="eastAsia" w:asciiTheme="minorEastAsia" w:hAnsiTheme="minorEastAsia" w:eastAsiaTheme="minorEastAsia" w:cstheme="minorEastAsia"/>
          <w:color w:val="auto"/>
          <w:kern w:val="0"/>
          <w:sz w:val="22"/>
          <w:szCs w:val="22"/>
          <w:lang w:val="en-US" w:eastAsia="zh-CN" w:bidi="ar-SA"/>
        </w:rPr>
      </w:pPr>
      <w:r>
        <w:rPr>
          <w:rFonts w:hint="eastAsia" w:asciiTheme="minorEastAsia" w:hAnsiTheme="minorEastAsia" w:eastAsiaTheme="minorEastAsia" w:cstheme="minorEastAsia"/>
          <w:color w:val="auto"/>
          <w:kern w:val="0"/>
          <w:sz w:val="22"/>
          <w:szCs w:val="22"/>
          <w:lang w:val="en-US" w:eastAsia="zh-CN" w:bidi="ar-SA"/>
        </w:rPr>
        <w:t>2.供应商应具备安全评价乙级及以上资质；</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3.供应商至少有一个生活或工业污水处理场站工程社会稳定风险评估业绩；</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4.项目负责人：具有一级安全评价师资格，须提供属于本单位工作人员的证明材料（由社会保险经办机构出具开标时间往前追溯不少于已交连续6个月社会保险缴费的证明材料），且至少有一个生活或工业污水处理场站工程社会稳定风险评估业绩；</w:t>
      </w:r>
      <w:bookmarkStart w:id="244" w:name="_GoBack"/>
      <w:bookmarkEnd w:id="244"/>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5</w:t>
      </w:r>
      <w:r>
        <w:rPr>
          <w:rFonts w:hint="eastAsia" w:asciiTheme="minorEastAsia" w:hAnsiTheme="minorEastAsia" w:eastAsiaTheme="minorEastAsia" w:cstheme="minorEastAsia"/>
          <w:color w:val="auto"/>
        </w:rPr>
        <w:t>.在“信用中国”网站（http://www.creditchina.gov.cn）中被列入失信被执行人名单的服务商不得参加报价；</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6</w:t>
      </w:r>
      <w:r>
        <w:rPr>
          <w:rFonts w:hint="eastAsia" w:asciiTheme="minorEastAsia" w:hAnsiTheme="minorEastAsia" w:eastAsiaTheme="minorEastAsia" w:cstheme="minorEastAsia"/>
          <w:color w:val="auto"/>
        </w:rPr>
        <w:t>.本项目不接受联合体报价，采购项目严禁服务商分包和转包。</w:t>
      </w:r>
    </w:p>
    <w:p>
      <w:pPr>
        <w:keepNext w:val="0"/>
        <w:keepLines w:val="0"/>
        <w:pageBreakBefore w:val="0"/>
        <w:kinsoku/>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三、询比采购文件的获取</w:t>
      </w:r>
      <w:bookmarkEnd w:id="3"/>
      <w:bookmarkEnd w:id="4"/>
      <w:bookmarkEnd w:id="5"/>
      <w:r>
        <w:rPr>
          <w:rFonts w:hint="eastAsia" w:asciiTheme="minorEastAsia" w:hAnsiTheme="minorEastAsia" w:eastAsiaTheme="minorEastAsia" w:cstheme="minorEastAsia"/>
          <w:b/>
          <w:bCs/>
          <w:color w:val="auto"/>
        </w:rPr>
        <w:t>方式和时间</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szCs w:val="22"/>
        </w:rPr>
      </w:pPr>
      <w:r>
        <w:rPr>
          <w:rFonts w:hint="eastAsia" w:asciiTheme="minorEastAsia" w:hAnsiTheme="minorEastAsia" w:eastAsiaTheme="minorEastAsia" w:cstheme="minorEastAsia"/>
          <w:color w:val="auto"/>
          <w:szCs w:val="22"/>
        </w:rPr>
        <w:t>1.询比采购文件获取方式：凡有意向参加本项目的服务商，可至</w:t>
      </w:r>
      <w:r>
        <w:rPr>
          <w:rFonts w:hint="eastAsia" w:asciiTheme="minorEastAsia" w:hAnsiTheme="minorEastAsia" w:eastAsiaTheme="minorEastAsia" w:cstheme="minorEastAsia"/>
          <w:b/>
          <w:bCs/>
          <w:color w:val="auto"/>
        </w:rPr>
        <w:t>安徽大别山国投集团（www.ahdmig.cn）</w:t>
      </w:r>
      <w:r>
        <w:rPr>
          <w:rFonts w:hint="eastAsia" w:asciiTheme="minorEastAsia" w:hAnsiTheme="minorEastAsia" w:eastAsiaTheme="minorEastAsia" w:cstheme="minorEastAsia"/>
          <w:bCs/>
          <w:color w:val="auto"/>
        </w:rPr>
        <w:t>网站</w:t>
      </w:r>
      <w:r>
        <w:rPr>
          <w:rFonts w:hint="eastAsia" w:asciiTheme="minorEastAsia" w:hAnsiTheme="minorEastAsia" w:eastAsiaTheme="minorEastAsia" w:cstheme="minorEastAsia"/>
          <w:bCs/>
          <w:color w:val="auto"/>
          <w:lang w:eastAsia="zh-CN"/>
        </w:rPr>
        <w:t>“</w:t>
      </w:r>
      <w:r>
        <w:rPr>
          <w:rFonts w:hint="eastAsia" w:asciiTheme="minorEastAsia" w:hAnsiTheme="minorEastAsia" w:eastAsiaTheme="minorEastAsia" w:cstheme="minorEastAsia"/>
          <w:bCs/>
          <w:color w:val="auto"/>
          <w:lang w:val="en-US" w:eastAsia="zh-CN"/>
        </w:rPr>
        <w:t>招标采购栏</w:t>
      </w:r>
      <w:r>
        <w:rPr>
          <w:rFonts w:hint="eastAsia" w:asciiTheme="minorEastAsia" w:hAnsiTheme="minorEastAsia" w:eastAsiaTheme="minorEastAsia" w:cstheme="minorEastAsia"/>
          <w:bCs/>
          <w:color w:val="auto"/>
          <w:lang w:eastAsia="zh-CN"/>
        </w:rPr>
        <w:t>”</w:t>
      </w:r>
      <w:r>
        <w:rPr>
          <w:rFonts w:hint="eastAsia" w:asciiTheme="minorEastAsia" w:hAnsiTheme="minorEastAsia" w:eastAsiaTheme="minorEastAsia" w:cstheme="minorEastAsia"/>
          <w:bCs/>
          <w:color w:val="auto"/>
        </w:rPr>
        <w:t>下载。</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2.询比采购文件获取时间：自本公告发布至报价文件递交的截止时间。</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四、报价文件的递交及相关事宜</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1.报价文件递交的截止时间：2020年</w:t>
      </w:r>
      <w:r>
        <w:rPr>
          <w:rFonts w:hint="eastAsia" w:asciiTheme="minorEastAsia" w:hAnsiTheme="minorEastAsia" w:eastAsiaTheme="minorEastAsia" w:cstheme="minorEastAsia"/>
          <w:color w:val="auto"/>
          <w:szCs w:val="22"/>
          <w:lang w:val="en-US" w:eastAsia="zh-CN"/>
        </w:rPr>
        <w:t>7</w:t>
      </w:r>
      <w:r>
        <w:rPr>
          <w:rFonts w:hint="eastAsia" w:asciiTheme="minorEastAsia" w:hAnsiTheme="minorEastAsia" w:eastAsiaTheme="minorEastAsia" w:cstheme="minorEastAsia"/>
          <w:color w:val="auto"/>
          <w:szCs w:val="22"/>
        </w:rPr>
        <w:t>月</w:t>
      </w:r>
      <w:r>
        <w:rPr>
          <w:rFonts w:hint="eastAsia" w:asciiTheme="minorEastAsia" w:hAnsiTheme="minorEastAsia" w:eastAsiaTheme="minorEastAsia" w:cstheme="minorEastAsia"/>
          <w:color w:val="auto"/>
          <w:szCs w:val="22"/>
          <w:lang w:val="en-US" w:eastAsia="zh-CN"/>
        </w:rPr>
        <w:t>17</w:t>
      </w:r>
      <w:r>
        <w:rPr>
          <w:rFonts w:hint="eastAsia" w:asciiTheme="minorEastAsia" w:hAnsiTheme="minorEastAsia" w:eastAsiaTheme="minorEastAsia" w:cstheme="minorEastAsia"/>
          <w:color w:val="auto"/>
          <w:szCs w:val="22"/>
        </w:rPr>
        <w:t>日</w:t>
      </w:r>
      <w:r>
        <w:rPr>
          <w:rFonts w:hint="eastAsia" w:asciiTheme="minorEastAsia" w:hAnsiTheme="minorEastAsia" w:eastAsiaTheme="minorEastAsia" w:cstheme="minorEastAsia"/>
          <w:color w:val="auto"/>
          <w:szCs w:val="22"/>
          <w:lang w:val="en-US" w:eastAsia="zh-CN"/>
        </w:rPr>
        <w:t>15</w:t>
      </w:r>
      <w:r>
        <w:rPr>
          <w:rFonts w:hint="eastAsia" w:asciiTheme="minorEastAsia" w:hAnsiTheme="minorEastAsia" w:eastAsiaTheme="minorEastAsia" w:cstheme="minorEastAsia"/>
          <w:color w:val="auto"/>
          <w:szCs w:val="22"/>
        </w:rPr>
        <w:t>时00分。逾期送达的或者未送达指定地点的报价文件，采购人不予受理。</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2.报价文件递交的地点：安徽大别山工程咨询有限公司一楼开标厅（安徽霍山经济开发区高桥湾路）。</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3.定于在报价文件递交截止的同一时间、同一地点对报价文件进行公开开启，并对服务商报价和服务方案进行询比并推荐成交候选人，成交候选人将在</w:t>
      </w:r>
      <w:r>
        <w:rPr>
          <w:rFonts w:hint="eastAsia" w:asciiTheme="minorEastAsia" w:hAnsiTheme="minorEastAsia" w:eastAsiaTheme="minorEastAsia" w:cstheme="minorEastAsia"/>
          <w:b/>
          <w:bCs/>
          <w:color w:val="auto"/>
        </w:rPr>
        <w:t>安徽大别山国投集团（www.ahdmig.cn）</w:t>
      </w:r>
      <w:r>
        <w:rPr>
          <w:rFonts w:hint="eastAsia" w:asciiTheme="minorEastAsia" w:hAnsiTheme="minorEastAsia" w:eastAsiaTheme="minorEastAsia" w:cstheme="minorEastAsia"/>
          <w:b/>
          <w:bCs/>
          <w:color w:val="auto"/>
          <w:lang w:val="en-US" w:eastAsia="zh-CN"/>
        </w:rPr>
        <w:t>网站</w:t>
      </w:r>
      <w:r>
        <w:rPr>
          <w:rFonts w:hint="eastAsia" w:asciiTheme="minorEastAsia" w:hAnsiTheme="minorEastAsia" w:eastAsiaTheme="minorEastAsia" w:cstheme="minorEastAsia"/>
          <w:color w:val="auto"/>
          <w:szCs w:val="22"/>
        </w:rPr>
        <w:t>公示。</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4.至报价文件递交的截止时间递交报价文件的服务商不足2家的，可经采购人批准后，现场转为单一来源谈判方式采购。</w:t>
      </w:r>
    </w:p>
    <w:p>
      <w:pPr>
        <w:pStyle w:val="33"/>
        <w:keepNext w:val="0"/>
        <w:keepLines w:val="0"/>
        <w:pageBreakBefore w:val="0"/>
        <w:shd w:val="clear" w:color="auto" w:fill="FFFFFF"/>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5.服务商的报价不得超过设定的项目</w:t>
      </w:r>
      <w:r>
        <w:rPr>
          <w:rFonts w:hint="eastAsia" w:asciiTheme="minorEastAsia" w:hAnsiTheme="minorEastAsia" w:eastAsiaTheme="minorEastAsia" w:cstheme="minorEastAsia"/>
          <w:color w:val="auto"/>
          <w:sz w:val="22"/>
          <w:szCs w:val="22"/>
          <w:lang w:val="en-US" w:eastAsia="zh-CN"/>
        </w:rPr>
        <w:t>最高</w:t>
      </w:r>
      <w:r>
        <w:rPr>
          <w:rFonts w:hint="eastAsia" w:asciiTheme="minorEastAsia" w:hAnsiTheme="minorEastAsia" w:eastAsiaTheme="minorEastAsia" w:cstheme="minorEastAsia"/>
          <w:color w:val="auto"/>
          <w:sz w:val="22"/>
          <w:szCs w:val="22"/>
        </w:rPr>
        <w:t>限价，否则作无效报价处理。</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szCs w:val="22"/>
        </w:rPr>
      </w:pPr>
      <w:r>
        <w:rPr>
          <w:rFonts w:hint="eastAsia" w:asciiTheme="minorEastAsia" w:hAnsiTheme="minorEastAsia" w:eastAsiaTheme="minorEastAsia" w:cstheme="minorEastAsia"/>
          <w:b/>
          <w:bCs/>
          <w:color w:val="auto"/>
          <w:szCs w:val="22"/>
        </w:rPr>
        <w:t>五、联系方式</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kern w:val="2"/>
          <w:szCs w:val="22"/>
          <w:lang w:val="en-US" w:eastAsia="zh-CN"/>
        </w:rPr>
      </w:pPr>
      <w:r>
        <w:rPr>
          <w:rFonts w:hint="eastAsia" w:asciiTheme="minorEastAsia" w:hAnsiTheme="minorEastAsia" w:eastAsiaTheme="minorEastAsia" w:cstheme="minorEastAsia"/>
          <w:b/>
          <w:bCs/>
          <w:color w:val="auto"/>
          <w:kern w:val="2"/>
          <w:szCs w:val="22"/>
          <w:lang w:val="en-US" w:eastAsia="zh-CN"/>
        </w:rPr>
        <w:t>采购人：安徽大别山国有资产投资（控股）集团有限公司</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地</w:t>
      </w:r>
      <w:r>
        <w:rPr>
          <w:rFonts w:hint="eastAsia" w:asciiTheme="minorEastAsia" w:hAnsiTheme="minorEastAsia" w:eastAsiaTheme="minorEastAsia" w:cstheme="minorEastAsia"/>
          <w:color w:val="auto"/>
          <w:kern w:val="2"/>
          <w:szCs w:val="22"/>
          <w:lang w:val="en-US" w:eastAsia="zh-CN"/>
        </w:rPr>
        <w:t xml:space="preserve">  </w:t>
      </w:r>
      <w:r>
        <w:rPr>
          <w:rFonts w:hint="eastAsia" w:asciiTheme="minorEastAsia" w:hAnsiTheme="minorEastAsia" w:eastAsiaTheme="minorEastAsia" w:cstheme="minorEastAsia"/>
          <w:color w:val="auto"/>
          <w:kern w:val="2"/>
          <w:szCs w:val="22"/>
        </w:rPr>
        <w:t>址：安徽霍山经济开发区高桥湾路</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联系人：</w:t>
      </w:r>
      <w:r>
        <w:rPr>
          <w:rFonts w:hint="eastAsia" w:asciiTheme="minorEastAsia" w:hAnsiTheme="minorEastAsia" w:eastAsiaTheme="minorEastAsia" w:cstheme="minorEastAsia"/>
          <w:color w:val="auto"/>
          <w:kern w:val="2"/>
          <w:szCs w:val="22"/>
          <w:lang w:val="en-US" w:eastAsia="zh-CN"/>
        </w:rPr>
        <w:t>李</w:t>
      </w:r>
      <w:r>
        <w:rPr>
          <w:rFonts w:hint="eastAsia" w:asciiTheme="minorEastAsia" w:hAnsiTheme="minorEastAsia" w:eastAsiaTheme="minorEastAsia" w:cstheme="minorEastAsia"/>
          <w:color w:val="auto"/>
          <w:kern w:val="2"/>
          <w:szCs w:val="22"/>
        </w:rPr>
        <w:t>先生</w:t>
      </w:r>
    </w:p>
    <w:p>
      <w:pPr>
        <w:keepNext w:val="0"/>
        <w:keepLines w:val="0"/>
        <w:pageBreakBefore w:val="0"/>
        <w:kinsoku/>
        <w:overflowPunct/>
        <w:topLinePunct w:val="0"/>
        <w:autoSpaceDE/>
        <w:autoSpaceDN/>
        <w:bidi w:val="0"/>
        <w:adjustRightInd/>
        <w:snapToGrid/>
        <w:spacing w:line="440" w:lineRule="exact"/>
        <w:ind w:firstLine="440"/>
        <w:textAlignment w:val="auto"/>
        <w:rPr>
          <w:rFonts w:hint="default" w:asciiTheme="minorEastAsia" w:hAnsiTheme="minorEastAsia" w:eastAsiaTheme="minorEastAsia" w:cstheme="minorEastAsia"/>
          <w:color w:val="auto"/>
          <w:kern w:val="2"/>
          <w:szCs w:val="22"/>
          <w:lang w:val="en-US" w:eastAsia="zh-CN"/>
        </w:rPr>
      </w:pPr>
      <w:r>
        <w:rPr>
          <w:rFonts w:hint="eastAsia" w:asciiTheme="minorEastAsia" w:hAnsiTheme="minorEastAsia" w:eastAsiaTheme="minorEastAsia" w:cstheme="minorEastAsia"/>
          <w:color w:val="auto"/>
          <w:kern w:val="2"/>
          <w:szCs w:val="22"/>
        </w:rPr>
        <w:t>电  话：</w:t>
      </w:r>
      <w:r>
        <w:rPr>
          <w:rFonts w:hint="eastAsia" w:asciiTheme="minorEastAsia" w:hAnsiTheme="minorEastAsia" w:eastAsiaTheme="minorEastAsia" w:cstheme="minorEastAsia"/>
          <w:color w:val="auto"/>
          <w:kern w:val="2"/>
          <w:szCs w:val="22"/>
          <w:lang w:val="en-US" w:eastAsia="zh-CN"/>
        </w:rPr>
        <w:t>0564-5020100</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kern w:val="2"/>
          <w:szCs w:val="22"/>
        </w:rPr>
      </w:pPr>
      <w:r>
        <w:rPr>
          <w:rFonts w:hint="eastAsia" w:asciiTheme="minorEastAsia" w:hAnsiTheme="minorEastAsia" w:eastAsiaTheme="minorEastAsia" w:cstheme="minorEastAsia"/>
          <w:b/>
          <w:bCs/>
          <w:color w:val="auto"/>
          <w:kern w:val="2"/>
          <w:szCs w:val="22"/>
          <w:lang w:val="en-US" w:eastAsia="zh-CN"/>
        </w:rPr>
        <w:t>代理机构</w:t>
      </w:r>
      <w:r>
        <w:rPr>
          <w:rFonts w:hint="eastAsia" w:asciiTheme="minorEastAsia" w:hAnsiTheme="minorEastAsia" w:eastAsiaTheme="minorEastAsia" w:cstheme="minorEastAsia"/>
          <w:b/>
          <w:bCs/>
          <w:color w:val="auto"/>
          <w:kern w:val="2"/>
          <w:szCs w:val="22"/>
        </w:rPr>
        <w:t>：安徽大别山工程咨询有限公司</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地    址：安徽霍山经济开发区高桥湾路</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联 系 人：</w:t>
      </w:r>
      <w:r>
        <w:rPr>
          <w:rFonts w:hint="eastAsia" w:asciiTheme="minorEastAsia" w:hAnsiTheme="minorEastAsia" w:eastAsiaTheme="minorEastAsia" w:cstheme="minorEastAsia"/>
          <w:color w:val="auto"/>
          <w:kern w:val="2"/>
          <w:szCs w:val="22"/>
          <w:lang w:val="en-US" w:eastAsia="zh-CN"/>
        </w:rPr>
        <w:t>徐女士</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lang w:val="en-US" w:eastAsia="zh-CN"/>
        </w:rPr>
      </w:pPr>
      <w:r>
        <w:rPr>
          <w:rFonts w:hint="eastAsia" w:asciiTheme="minorEastAsia" w:hAnsiTheme="minorEastAsia" w:eastAsiaTheme="minorEastAsia" w:cstheme="minorEastAsia"/>
          <w:color w:val="auto"/>
          <w:kern w:val="2"/>
          <w:szCs w:val="22"/>
        </w:rPr>
        <w:t>电    话：0564-5020033/</w:t>
      </w:r>
      <w:r>
        <w:rPr>
          <w:rFonts w:hint="eastAsia" w:asciiTheme="minorEastAsia" w:hAnsiTheme="minorEastAsia" w:eastAsiaTheme="minorEastAsia" w:cstheme="minorEastAsia"/>
          <w:color w:val="auto"/>
          <w:kern w:val="2"/>
          <w:szCs w:val="22"/>
          <w:lang w:val="en-US" w:eastAsia="zh-CN"/>
        </w:rPr>
        <w:t>15305645253</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监督管理机构：安徽大别山国投集团监察</w:t>
      </w:r>
      <w:r>
        <w:rPr>
          <w:rFonts w:hint="eastAsia" w:asciiTheme="minorEastAsia" w:hAnsiTheme="minorEastAsia" w:eastAsiaTheme="minorEastAsia" w:cstheme="minorEastAsia"/>
          <w:b/>
          <w:bCs/>
          <w:color w:val="auto"/>
          <w:sz w:val="21"/>
          <w:szCs w:val="21"/>
          <w:lang w:val="en-US" w:eastAsia="zh-CN"/>
        </w:rPr>
        <w:t>办公</w:t>
      </w:r>
      <w:r>
        <w:rPr>
          <w:rFonts w:hint="eastAsia" w:asciiTheme="minorEastAsia" w:hAnsiTheme="minorEastAsia" w:eastAsiaTheme="minorEastAsia" w:cstheme="minorEastAsia"/>
          <w:b/>
          <w:bCs/>
          <w:color w:val="auto"/>
          <w:sz w:val="21"/>
          <w:szCs w:val="21"/>
        </w:rPr>
        <w:t>室</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地  址：霍山县经济开发区高桥湾路</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联系人：</w:t>
      </w:r>
      <w:r>
        <w:rPr>
          <w:rFonts w:hint="eastAsia" w:asciiTheme="minorEastAsia" w:hAnsiTheme="minorEastAsia" w:eastAsiaTheme="minorEastAsia" w:cstheme="minorEastAsia"/>
          <w:color w:val="auto"/>
          <w:sz w:val="21"/>
          <w:szCs w:val="21"/>
          <w:lang w:val="en-US" w:eastAsia="zh-CN"/>
        </w:rPr>
        <w:t>王女士</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电  话：0564-5020180</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六、</w:t>
      </w:r>
      <w:r>
        <w:rPr>
          <w:rFonts w:hint="eastAsia" w:asciiTheme="minorEastAsia" w:hAnsiTheme="minorEastAsia" w:eastAsiaTheme="minorEastAsia" w:cstheme="minorEastAsia"/>
          <w:b/>
          <w:bCs/>
          <w:color w:val="auto"/>
          <w:lang w:eastAsia="zh-CN"/>
        </w:rPr>
        <w:t>询比</w:t>
      </w:r>
      <w:r>
        <w:rPr>
          <w:rFonts w:hint="eastAsia" w:asciiTheme="minorEastAsia" w:hAnsiTheme="minorEastAsia" w:eastAsiaTheme="minorEastAsia" w:cstheme="minorEastAsia"/>
          <w:b/>
          <w:bCs/>
          <w:color w:val="auto"/>
        </w:rPr>
        <w:t>保证金缴纳账户</w:t>
      </w:r>
    </w:p>
    <w:p>
      <w:pPr>
        <w:keepNext w:val="0"/>
        <w:keepLines w:val="0"/>
        <w:pageBreakBefore w:val="0"/>
        <w:widowControl/>
        <w:shd w:val="clear" w:color="auto" w:fill="FFFFFF"/>
        <w:kinsoku/>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color w:val="auto"/>
          <w:sz w:val="21"/>
          <w:szCs w:val="21"/>
          <w:lang w:eastAsia="zh-CN"/>
        </w:rPr>
        <w:t>询比</w:t>
      </w:r>
      <w:r>
        <w:rPr>
          <w:rFonts w:hint="eastAsia" w:asciiTheme="minorEastAsia" w:hAnsiTheme="minorEastAsia" w:eastAsiaTheme="minorEastAsia" w:cstheme="minorEastAsia"/>
          <w:color w:val="auto"/>
          <w:sz w:val="21"/>
          <w:szCs w:val="21"/>
        </w:rPr>
        <w:t>保证金为：</w:t>
      </w:r>
      <w:r>
        <w:rPr>
          <w:rFonts w:hint="eastAsia" w:asciiTheme="minorEastAsia" w:hAnsiTheme="minorEastAsia" w:eastAsiaTheme="minorEastAsia" w:cstheme="minorEastAsia"/>
          <w:b/>
          <w:bCs/>
          <w:color w:val="auto"/>
          <w:sz w:val="21"/>
          <w:szCs w:val="21"/>
        </w:rPr>
        <w:t>人民币</w:t>
      </w:r>
      <w:r>
        <w:rPr>
          <w:rFonts w:hint="eastAsia" w:asciiTheme="minorEastAsia" w:hAnsiTheme="minorEastAsia" w:eastAsiaTheme="minorEastAsia" w:cstheme="minorEastAsia"/>
          <w:b/>
          <w:bCs/>
          <w:color w:val="auto"/>
          <w:sz w:val="21"/>
          <w:szCs w:val="21"/>
          <w:lang w:val="en-US" w:eastAsia="zh-CN"/>
        </w:rPr>
        <w:t>贰</w:t>
      </w:r>
      <w:r>
        <w:rPr>
          <w:rFonts w:hint="eastAsia" w:asciiTheme="minorEastAsia" w:hAnsiTheme="minorEastAsia" w:eastAsiaTheme="minorEastAsia" w:cstheme="minorEastAsia"/>
          <w:b/>
          <w:bCs/>
          <w:color w:val="auto"/>
          <w:sz w:val="21"/>
          <w:szCs w:val="21"/>
        </w:rPr>
        <w:t>仟元（</w:t>
      </w:r>
      <w:r>
        <w:rPr>
          <w:rFonts w:hint="eastAsia" w:asciiTheme="minorEastAsia" w:hAnsiTheme="minorEastAsia" w:eastAsiaTheme="minorEastAsia" w:cstheme="minorEastAsia"/>
          <w:b/>
          <w:bCs/>
          <w:color w:val="auto"/>
          <w:sz w:val="21"/>
          <w:szCs w:val="21"/>
          <w:lang w:val="en-US" w:eastAsia="zh-CN"/>
        </w:rPr>
        <w:t>2</w:t>
      </w:r>
      <w:r>
        <w:rPr>
          <w:rFonts w:hint="eastAsia" w:asciiTheme="minorEastAsia" w:hAnsiTheme="minorEastAsia" w:eastAsiaTheme="minorEastAsia" w:cstheme="minorEastAsia"/>
          <w:b/>
          <w:bCs/>
          <w:color w:val="auto"/>
          <w:sz w:val="21"/>
          <w:szCs w:val="21"/>
        </w:rPr>
        <w:t>000元）</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0"/>
        <w:jc w:val="left"/>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询比</w:t>
      </w:r>
      <w:r>
        <w:rPr>
          <w:rFonts w:hint="eastAsia" w:asciiTheme="minorEastAsia" w:hAnsiTheme="minorEastAsia" w:eastAsiaTheme="minorEastAsia" w:cstheme="minorEastAsia"/>
          <w:color w:val="auto"/>
          <w:sz w:val="21"/>
          <w:szCs w:val="21"/>
        </w:rPr>
        <w:t>保证金可采取下列形式：(1)银行转账  (2)网银支付</w:t>
      </w:r>
      <w:r>
        <w:rPr>
          <w:rFonts w:hint="eastAsia" w:asciiTheme="minorEastAsia" w:hAnsiTheme="minorEastAsia" w:eastAsiaTheme="minorEastAsia" w:cstheme="minorEastAsia"/>
          <w:color w:val="auto"/>
          <w:sz w:val="21"/>
          <w:szCs w:val="21"/>
          <w:lang w:val="en-US" w:eastAsia="zh-CN"/>
        </w:rPr>
        <w:t xml:space="preserve"> </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2"/>
        <w:jc w:val="left"/>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eastAsia="zh-CN"/>
        </w:rPr>
        <w:t>询比</w:t>
      </w:r>
      <w:r>
        <w:rPr>
          <w:rFonts w:hint="eastAsia" w:asciiTheme="minorEastAsia" w:hAnsiTheme="minorEastAsia" w:eastAsiaTheme="minorEastAsia" w:cstheme="minorEastAsia"/>
          <w:b/>
          <w:bCs/>
          <w:color w:val="auto"/>
          <w:sz w:val="21"/>
          <w:szCs w:val="21"/>
        </w:rPr>
        <w:t>保证金指定账户：</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2"/>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bCs/>
          <w:color w:val="auto"/>
          <w:sz w:val="21"/>
          <w:szCs w:val="21"/>
        </w:rPr>
        <w:t>户    名：安徽大别山工程咨询有限公司</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2"/>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color w:val="auto"/>
          <w:sz w:val="21"/>
          <w:szCs w:val="21"/>
          <w:shd w:val="clear" w:color="auto" w:fill="FFFFFF"/>
        </w:rPr>
        <w:t>汇入银行：</w:t>
      </w:r>
      <w:r>
        <w:rPr>
          <w:rFonts w:hint="eastAsia" w:asciiTheme="minorEastAsia" w:hAnsiTheme="minorEastAsia" w:eastAsiaTheme="minorEastAsia" w:cstheme="minorEastAsia"/>
          <w:b/>
          <w:bCs/>
          <w:color w:val="auto"/>
          <w:sz w:val="21"/>
          <w:szCs w:val="21"/>
        </w:rPr>
        <w:t>安徽霍山农村商业银行股份有限公司文盛支行</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2"/>
        <w:jc w:val="left"/>
        <w:textAlignment w:val="auto"/>
        <w:rPr>
          <w:rFonts w:hint="eastAsia" w:asciiTheme="minorEastAsia" w:hAnsiTheme="minorEastAsia" w:eastAsiaTheme="minorEastAsia" w:cstheme="minorEastAsia"/>
          <w:b/>
          <w:color w:val="auto"/>
          <w:sz w:val="21"/>
          <w:szCs w:val="21"/>
          <w:shd w:val="clear" w:color="auto" w:fill="FFFFFF"/>
        </w:rPr>
      </w:pPr>
      <w:r>
        <w:rPr>
          <w:rFonts w:hint="eastAsia" w:asciiTheme="minorEastAsia" w:hAnsiTheme="minorEastAsia" w:eastAsiaTheme="minorEastAsia" w:cstheme="minorEastAsia"/>
          <w:b/>
          <w:color w:val="auto"/>
          <w:sz w:val="21"/>
          <w:szCs w:val="21"/>
          <w:shd w:val="clear" w:color="auto" w:fill="FFFFFF"/>
        </w:rPr>
        <w:t>汇入银行帐号：</w:t>
      </w:r>
      <w:r>
        <w:rPr>
          <w:rFonts w:hint="eastAsia" w:asciiTheme="minorEastAsia" w:hAnsiTheme="minorEastAsia" w:eastAsiaTheme="minorEastAsia" w:cstheme="minorEastAsia"/>
          <w:b/>
          <w:bCs/>
          <w:color w:val="auto"/>
          <w:sz w:val="21"/>
          <w:szCs w:val="21"/>
        </w:rPr>
        <w:t>20010048352066600000021</w:t>
      </w:r>
    </w:p>
    <w:p>
      <w:pPr>
        <w:pStyle w:val="33"/>
        <w:keepNext w:val="0"/>
        <w:keepLines w:val="0"/>
        <w:pageBreakBefore w:val="0"/>
        <w:widowControl/>
        <w:shd w:val="clear" w:color="auto" w:fill="FFFFFF"/>
        <w:kinsoku/>
        <w:overflowPunct/>
        <w:topLinePunct w:val="0"/>
        <w:autoSpaceDE/>
        <w:autoSpaceDN/>
        <w:bidi w:val="0"/>
        <w:adjustRightInd/>
        <w:snapToGrid/>
        <w:spacing w:line="440" w:lineRule="exact"/>
        <w:ind w:firstLine="422"/>
        <w:textAlignment w:val="auto"/>
        <w:rPr>
          <w:rFonts w:hint="eastAsia" w:asciiTheme="minorEastAsia" w:hAnsiTheme="minorEastAsia" w:eastAsiaTheme="minorEastAsia" w:cstheme="minorEastAsia"/>
          <w:b/>
          <w:color w:val="auto"/>
          <w:sz w:val="21"/>
          <w:szCs w:val="21"/>
          <w:shd w:val="clear" w:color="auto" w:fill="FFFFFF"/>
          <w:lang w:val="zh-CN"/>
        </w:rPr>
      </w:pPr>
      <w:r>
        <w:rPr>
          <w:rFonts w:hint="eastAsia" w:asciiTheme="minorEastAsia" w:hAnsiTheme="minorEastAsia" w:eastAsiaTheme="minorEastAsia" w:cstheme="minorEastAsia"/>
          <w:b/>
          <w:color w:val="auto"/>
          <w:sz w:val="21"/>
          <w:szCs w:val="21"/>
          <w:shd w:val="clear" w:color="auto" w:fill="FFFFFF"/>
        </w:rPr>
        <w:t>备注：1、</w:t>
      </w:r>
      <w:r>
        <w:rPr>
          <w:rFonts w:hint="eastAsia" w:asciiTheme="minorEastAsia" w:hAnsiTheme="minorEastAsia" w:eastAsiaTheme="minorEastAsia" w:cstheme="minorEastAsia"/>
          <w:b/>
          <w:color w:val="auto"/>
          <w:sz w:val="21"/>
          <w:szCs w:val="21"/>
          <w:shd w:val="clear" w:color="auto" w:fill="FFFFFF"/>
          <w:lang w:val="zh-CN"/>
        </w:rPr>
        <w:t>汇出账户要求：应为询比单位账户；</w:t>
      </w:r>
    </w:p>
    <w:p>
      <w:pPr>
        <w:pStyle w:val="33"/>
        <w:keepNext w:val="0"/>
        <w:keepLines w:val="0"/>
        <w:pageBreakBefore w:val="0"/>
        <w:widowControl/>
        <w:numPr>
          <w:ilvl w:val="0"/>
          <w:numId w:val="1"/>
        </w:numPr>
        <w:shd w:val="clear" w:color="auto" w:fill="FFFFFF"/>
        <w:kinsoku/>
        <w:overflowPunct/>
        <w:topLinePunct w:val="0"/>
        <w:autoSpaceDE/>
        <w:autoSpaceDN/>
        <w:bidi w:val="0"/>
        <w:adjustRightInd/>
        <w:snapToGrid/>
        <w:spacing w:line="440" w:lineRule="exact"/>
        <w:ind w:firstLine="422"/>
        <w:textAlignment w:val="auto"/>
        <w:rPr>
          <w:rFonts w:hint="eastAsia" w:asciiTheme="minorEastAsia" w:hAnsiTheme="minorEastAsia" w:eastAsiaTheme="minorEastAsia" w:cstheme="minorEastAsia"/>
          <w:b/>
          <w:color w:val="auto"/>
          <w:sz w:val="21"/>
          <w:szCs w:val="21"/>
          <w:shd w:val="clear" w:color="auto" w:fill="FFFFFF"/>
          <w:lang w:val="zh-CN"/>
        </w:rPr>
      </w:pPr>
      <w:r>
        <w:rPr>
          <w:rFonts w:hint="eastAsia" w:asciiTheme="minorEastAsia" w:hAnsiTheme="minorEastAsia" w:eastAsiaTheme="minorEastAsia" w:cstheme="minorEastAsia"/>
          <w:b/>
          <w:color w:val="auto"/>
          <w:sz w:val="21"/>
          <w:szCs w:val="21"/>
          <w:shd w:val="clear" w:color="auto" w:fill="FFFFFF"/>
          <w:lang w:val="zh-CN"/>
        </w:rPr>
        <w:t>询比保证金到达指定账户截止时间为：20</w:t>
      </w:r>
      <w:r>
        <w:rPr>
          <w:rFonts w:hint="eastAsia" w:asciiTheme="minorEastAsia" w:hAnsiTheme="minorEastAsia" w:eastAsiaTheme="minorEastAsia" w:cstheme="minorEastAsia"/>
          <w:b/>
          <w:color w:val="auto"/>
          <w:sz w:val="21"/>
          <w:szCs w:val="21"/>
          <w:shd w:val="clear" w:color="auto" w:fill="FFFFFF"/>
        </w:rPr>
        <w:t>20</w:t>
      </w:r>
      <w:r>
        <w:rPr>
          <w:rFonts w:hint="eastAsia" w:asciiTheme="minorEastAsia" w:hAnsiTheme="minorEastAsia" w:eastAsiaTheme="minorEastAsia" w:cstheme="minorEastAsia"/>
          <w:b/>
          <w:color w:val="auto"/>
          <w:sz w:val="21"/>
          <w:szCs w:val="21"/>
          <w:shd w:val="clear" w:color="auto" w:fill="FFFFFF"/>
          <w:lang w:val="zh-CN"/>
        </w:rPr>
        <w:t>年</w:t>
      </w:r>
      <w:r>
        <w:rPr>
          <w:rFonts w:hint="eastAsia" w:asciiTheme="minorEastAsia" w:hAnsiTheme="minorEastAsia" w:eastAsiaTheme="minorEastAsia" w:cstheme="minorEastAsia"/>
          <w:b/>
          <w:color w:val="auto"/>
          <w:sz w:val="21"/>
          <w:szCs w:val="21"/>
          <w:shd w:val="clear" w:color="auto" w:fill="FFFFFF"/>
          <w:lang w:val="en-US" w:eastAsia="zh-CN"/>
        </w:rPr>
        <w:t>7</w:t>
      </w:r>
      <w:r>
        <w:rPr>
          <w:rFonts w:hint="eastAsia" w:asciiTheme="minorEastAsia" w:hAnsiTheme="minorEastAsia" w:eastAsiaTheme="minorEastAsia" w:cstheme="minorEastAsia"/>
          <w:b/>
          <w:color w:val="auto"/>
          <w:sz w:val="21"/>
          <w:szCs w:val="21"/>
          <w:shd w:val="clear" w:color="auto" w:fill="FFFFFF"/>
          <w:lang w:val="zh-CN"/>
        </w:rPr>
        <w:t>月</w:t>
      </w:r>
      <w:r>
        <w:rPr>
          <w:rFonts w:hint="eastAsia" w:asciiTheme="minorEastAsia" w:hAnsiTheme="minorEastAsia" w:eastAsiaTheme="minorEastAsia" w:cstheme="minorEastAsia"/>
          <w:b/>
          <w:color w:val="auto"/>
          <w:sz w:val="21"/>
          <w:szCs w:val="21"/>
          <w:shd w:val="clear" w:color="auto" w:fill="FFFFFF"/>
          <w:lang w:val="en-US" w:eastAsia="zh-CN"/>
        </w:rPr>
        <w:t>17</w:t>
      </w:r>
      <w:r>
        <w:rPr>
          <w:rFonts w:hint="eastAsia" w:asciiTheme="minorEastAsia" w:hAnsiTheme="minorEastAsia" w:eastAsiaTheme="minorEastAsia" w:cstheme="minorEastAsia"/>
          <w:b/>
          <w:color w:val="auto"/>
          <w:sz w:val="21"/>
          <w:szCs w:val="21"/>
          <w:shd w:val="clear" w:color="auto" w:fill="FFFFFF"/>
          <w:lang w:val="zh-CN"/>
        </w:rPr>
        <w:t>日</w:t>
      </w:r>
      <w:r>
        <w:rPr>
          <w:rFonts w:hint="eastAsia" w:asciiTheme="minorEastAsia" w:hAnsiTheme="minorEastAsia" w:eastAsiaTheme="minorEastAsia" w:cstheme="minorEastAsia"/>
          <w:b/>
          <w:color w:val="auto"/>
          <w:sz w:val="21"/>
          <w:szCs w:val="21"/>
          <w:shd w:val="clear" w:color="auto" w:fill="FFFFFF"/>
          <w:lang w:val="en-US" w:eastAsia="zh-CN"/>
        </w:rPr>
        <w:t>15</w:t>
      </w:r>
      <w:r>
        <w:rPr>
          <w:rFonts w:hint="eastAsia" w:asciiTheme="minorEastAsia" w:hAnsiTheme="minorEastAsia" w:eastAsiaTheme="minorEastAsia" w:cstheme="minorEastAsia"/>
          <w:b/>
          <w:color w:val="auto"/>
          <w:sz w:val="21"/>
          <w:szCs w:val="21"/>
          <w:shd w:val="clear" w:color="auto" w:fill="FFFFFF"/>
          <w:lang w:val="zh-CN"/>
        </w:rPr>
        <w:t>时</w:t>
      </w:r>
      <w:r>
        <w:rPr>
          <w:rFonts w:hint="eastAsia" w:asciiTheme="minorEastAsia" w:hAnsiTheme="minorEastAsia" w:eastAsiaTheme="minorEastAsia" w:cstheme="minorEastAsia"/>
          <w:b/>
          <w:color w:val="auto"/>
          <w:sz w:val="21"/>
          <w:szCs w:val="21"/>
          <w:shd w:val="clear" w:color="auto" w:fill="FFFFFF"/>
        </w:rPr>
        <w:t>00分</w:t>
      </w:r>
      <w:r>
        <w:rPr>
          <w:rFonts w:hint="eastAsia" w:asciiTheme="minorEastAsia" w:hAnsiTheme="minorEastAsia" w:eastAsiaTheme="minorEastAsia" w:cstheme="minorEastAsia"/>
          <w:b/>
          <w:color w:val="auto"/>
          <w:sz w:val="21"/>
          <w:szCs w:val="21"/>
          <w:shd w:val="clear" w:color="auto" w:fill="FFFFFF"/>
          <w:lang w:val="zh-CN"/>
        </w:rPr>
        <w:t>前；</w:t>
      </w:r>
    </w:p>
    <w:p>
      <w:pPr>
        <w:pStyle w:val="33"/>
        <w:keepNext w:val="0"/>
        <w:keepLines w:val="0"/>
        <w:pageBreakBefore w:val="0"/>
        <w:widowControl/>
        <w:shd w:val="clear" w:color="auto" w:fill="FFFFFF"/>
        <w:kinsoku/>
        <w:overflowPunct/>
        <w:topLinePunct w:val="0"/>
        <w:autoSpaceDE/>
        <w:autoSpaceDN/>
        <w:bidi w:val="0"/>
        <w:adjustRightInd/>
        <w:snapToGrid/>
        <w:spacing w:line="440" w:lineRule="exact"/>
        <w:ind w:firstLine="422"/>
        <w:textAlignment w:val="auto"/>
        <w:rPr>
          <w:rFonts w:hint="eastAsia" w:asciiTheme="minorEastAsia" w:hAnsiTheme="minorEastAsia" w:eastAsiaTheme="minorEastAsia" w:cstheme="minorEastAsia"/>
          <w:b/>
          <w:color w:val="auto"/>
          <w:sz w:val="21"/>
          <w:szCs w:val="21"/>
          <w:shd w:val="clear" w:color="auto" w:fill="FFFFFF"/>
          <w:lang w:val="zh-CN"/>
        </w:rPr>
      </w:pPr>
      <w:r>
        <w:rPr>
          <w:rFonts w:hint="eastAsia" w:asciiTheme="minorEastAsia" w:hAnsiTheme="minorEastAsia" w:eastAsiaTheme="minorEastAsia" w:cstheme="minorEastAsia"/>
          <w:b/>
          <w:color w:val="auto"/>
          <w:sz w:val="21"/>
          <w:szCs w:val="21"/>
          <w:shd w:val="clear" w:color="auto" w:fill="FFFFFF"/>
        </w:rPr>
        <w:t>3、</w:t>
      </w:r>
      <w:r>
        <w:rPr>
          <w:rFonts w:hint="eastAsia" w:asciiTheme="minorEastAsia" w:hAnsiTheme="minorEastAsia" w:eastAsiaTheme="minorEastAsia" w:cstheme="minorEastAsia"/>
          <w:b/>
          <w:color w:val="auto"/>
          <w:sz w:val="21"/>
          <w:szCs w:val="21"/>
          <w:shd w:val="clear" w:color="auto" w:fill="FFFFFF"/>
          <w:lang w:val="zh-CN"/>
        </w:rPr>
        <w:t>询比单位必须在询比保证金银行汇单备注栏注明本采购项目</w:t>
      </w:r>
      <w:r>
        <w:rPr>
          <w:rFonts w:hint="eastAsia" w:asciiTheme="minorEastAsia" w:hAnsiTheme="minorEastAsia" w:eastAsiaTheme="minorEastAsia" w:cstheme="minorEastAsia"/>
          <w:b/>
          <w:color w:val="auto"/>
          <w:sz w:val="21"/>
          <w:szCs w:val="21"/>
          <w:shd w:val="clear" w:color="auto" w:fill="FFFFFF"/>
          <w:lang w:val="en-US" w:eastAsia="zh-CN"/>
        </w:rPr>
        <w:t>编</w:t>
      </w:r>
      <w:r>
        <w:rPr>
          <w:rFonts w:hint="eastAsia" w:asciiTheme="minorEastAsia" w:hAnsiTheme="minorEastAsia" w:eastAsiaTheme="minorEastAsia" w:cstheme="minorEastAsia"/>
          <w:b/>
          <w:color w:val="auto"/>
          <w:sz w:val="21"/>
          <w:szCs w:val="21"/>
          <w:shd w:val="clear" w:color="auto" w:fill="FFFFFF"/>
          <w:lang w:val="zh-CN"/>
        </w:rPr>
        <w:t>号。</w:t>
      </w:r>
    </w:p>
    <w:p>
      <w:pPr>
        <w:pStyle w:val="33"/>
        <w:keepNext w:val="0"/>
        <w:keepLines w:val="0"/>
        <w:pageBreakBefore w:val="0"/>
        <w:widowControl/>
        <w:shd w:val="clear" w:color="auto" w:fill="FFFFFF"/>
        <w:kinsoku/>
        <w:overflowPunct/>
        <w:topLinePunct w:val="0"/>
        <w:autoSpaceDE/>
        <w:autoSpaceDN/>
        <w:bidi w:val="0"/>
        <w:adjustRightInd/>
        <w:snapToGrid/>
        <w:spacing w:line="440" w:lineRule="exact"/>
        <w:ind w:firstLine="422"/>
        <w:textAlignment w:val="auto"/>
        <w:rPr>
          <w:rFonts w:hint="eastAsia" w:asciiTheme="minorEastAsia" w:hAnsiTheme="minorEastAsia" w:eastAsiaTheme="minorEastAsia" w:cstheme="minorEastAsia"/>
          <w:b/>
          <w:color w:val="auto"/>
          <w:sz w:val="21"/>
          <w:szCs w:val="21"/>
          <w:shd w:val="clear" w:color="auto" w:fill="FFFFFF"/>
          <w:lang w:val="zh-CN"/>
        </w:rPr>
      </w:pPr>
    </w:p>
    <w:p>
      <w:pPr>
        <w:pStyle w:val="2"/>
        <w:keepNext w:val="0"/>
        <w:keepLines w:val="0"/>
        <w:pageBreakBefore w:val="0"/>
        <w:kinsoku/>
        <w:overflowPunct/>
        <w:topLinePunct w:val="0"/>
        <w:autoSpaceDE/>
        <w:autoSpaceDN/>
        <w:bidi w:val="0"/>
        <w:adjustRightInd/>
        <w:snapToGrid/>
        <w:spacing w:line="440" w:lineRule="exact"/>
        <w:ind w:left="440" w:firstLine="560"/>
        <w:textAlignment w:val="auto"/>
        <w:rPr>
          <w:rFonts w:hint="eastAsia" w:asciiTheme="minorEastAsia" w:hAnsiTheme="minorEastAsia" w:eastAsiaTheme="minorEastAsia" w:cstheme="minorEastAsia"/>
          <w:color w:val="auto"/>
        </w:rPr>
      </w:pPr>
    </w:p>
    <w:p>
      <w:pPr>
        <w:keepNext w:val="0"/>
        <w:keepLines w:val="0"/>
        <w:pageBreakBefore w:val="0"/>
        <w:kinsoku/>
        <w:overflowPunct/>
        <w:topLinePunct w:val="0"/>
        <w:autoSpaceDE/>
        <w:autoSpaceDN/>
        <w:bidi w:val="0"/>
        <w:adjustRightInd/>
        <w:snapToGrid/>
        <w:spacing w:line="440" w:lineRule="exact"/>
        <w:ind w:firstLine="440"/>
        <w:jc w:val="right"/>
        <w:textAlignment w:val="auto"/>
        <w:rPr>
          <w:rFonts w:hint="eastAsia" w:asciiTheme="minorEastAsia" w:hAnsiTheme="minorEastAsia" w:eastAsiaTheme="minorEastAsia" w:cstheme="minorEastAsia"/>
          <w:b w:val="0"/>
          <w:bCs w:val="0"/>
          <w:color w:val="auto"/>
          <w:kern w:val="2"/>
          <w:szCs w:val="22"/>
          <w:lang w:val="en-US" w:eastAsia="zh-CN"/>
        </w:rPr>
      </w:pPr>
      <w:r>
        <w:rPr>
          <w:rFonts w:hint="eastAsia" w:asciiTheme="minorEastAsia" w:hAnsiTheme="minorEastAsia" w:eastAsiaTheme="minorEastAsia" w:cstheme="minorEastAsia"/>
          <w:b w:val="0"/>
          <w:bCs w:val="0"/>
          <w:color w:val="auto"/>
          <w:kern w:val="2"/>
          <w:szCs w:val="22"/>
          <w:lang w:val="en-US" w:eastAsia="zh-CN"/>
        </w:rPr>
        <w:t>安徽大别山国有资产投资（控股）集团有限公司</w:t>
      </w:r>
    </w:p>
    <w:p>
      <w:pPr>
        <w:keepNext w:val="0"/>
        <w:keepLines w:val="0"/>
        <w:pageBreakBefore w:val="0"/>
        <w:kinsoku/>
        <w:wordWrap w:val="0"/>
        <w:overflowPunct/>
        <w:topLinePunct w:val="0"/>
        <w:autoSpaceDE/>
        <w:autoSpaceDN/>
        <w:bidi w:val="0"/>
        <w:adjustRightInd/>
        <w:snapToGrid/>
        <w:spacing w:line="440" w:lineRule="exact"/>
        <w:ind w:firstLine="420"/>
        <w:jc w:val="right"/>
        <w:textAlignment w:val="auto"/>
        <w:rPr>
          <w:rFonts w:hint="eastAsia" w:asciiTheme="minorEastAsia" w:hAnsiTheme="minorEastAsia" w:eastAsiaTheme="minorEastAsia" w:cstheme="minorEastAsia"/>
          <w:color w:val="auto"/>
          <w:kern w:val="2"/>
          <w:szCs w:val="21"/>
        </w:rPr>
      </w:pPr>
      <w:r>
        <w:rPr>
          <w:rFonts w:hint="eastAsia" w:asciiTheme="minorEastAsia" w:hAnsiTheme="minorEastAsia" w:eastAsiaTheme="minorEastAsia" w:cstheme="minorEastAsia"/>
          <w:color w:val="auto"/>
          <w:kern w:val="2"/>
          <w:szCs w:val="21"/>
        </w:rPr>
        <w:t>安徽大别山工程咨询有限公司</w:t>
      </w:r>
    </w:p>
    <w:p>
      <w:pPr>
        <w:pStyle w:val="15"/>
        <w:keepNext w:val="0"/>
        <w:keepLines w:val="0"/>
        <w:pageBreakBefore w:val="0"/>
        <w:kinsoku/>
        <w:wordWrap w:val="0"/>
        <w:overflowPunct/>
        <w:topLinePunct w:val="0"/>
        <w:autoSpaceDE/>
        <w:autoSpaceDN/>
        <w:bidi w:val="0"/>
        <w:adjustRightInd/>
        <w:snapToGrid/>
        <w:spacing w:after="0" w:line="440" w:lineRule="exact"/>
        <w:ind w:firstLine="440"/>
        <w:jc w:val="righ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zCs w:val="21"/>
        </w:rPr>
        <w:t>2020年</w:t>
      </w:r>
      <w:r>
        <w:rPr>
          <w:rFonts w:hint="eastAsia" w:asciiTheme="minorEastAsia" w:hAnsiTheme="minorEastAsia" w:eastAsiaTheme="minorEastAsia" w:cstheme="minorEastAsia"/>
          <w:color w:val="auto"/>
          <w:szCs w:val="21"/>
          <w:lang w:val="en-US" w:eastAsia="zh-CN"/>
        </w:rPr>
        <w:t>7</w:t>
      </w:r>
      <w:r>
        <w:rPr>
          <w:rFonts w:hint="eastAsia" w:asciiTheme="minorEastAsia" w:hAnsiTheme="minorEastAsia" w:eastAsiaTheme="minorEastAsia" w:cstheme="minorEastAsia"/>
          <w:color w:val="auto"/>
          <w:szCs w:val="21"/>
        </w:rPr>
        <w:t>月</w:t>
      </w:r>
      <w:r>
        <w:rPr>
          <w:rFonts w:hint="eastAsia" w:asciiTheme="minorEastAsia" w:hAnsiTheme="minorEastAsia" w:eastAsiaTheme="minorEastAsia" w:cstheme="minorEastAsia"/>
          <w:color w:val="auto"/>
          <w:szCs w:val="21"/>
          <w:lang w:val="en-US" w:eastAsia="zh-CN"/>
        </w:rPr>
        <w:t>14</w:t>
      </w:r>
      <w:r>
        <w:rPr>
          <w:rFonts w:hint="eastAsia" w:asciiTheme="minorEastAsia" w:hAnsiTheme="minorEastAsia" w:eastAsiaTheme="minorEastAsia" w:cstheme="minorEastAsia"/>
          <w:color w:val="auto"/>
          <w:szCs w:val="21"/>
        </w:rPr>
        <w:t>日</w:t>
      </w:r>
    </w:p>
    <w:p>
      <w:pPr>
        <w:spacing w:line="360" w:lineRule="auto"/>
        <w:ind w:firstLine="0" w:firstLineChars="0"/>
        <w:jc w:val="center"/>
        <w:rPr>
          <w:rFonts w:hint="eastAsia" w:asciiTheme="minorEastAsia" w:hAnsiTheme="minorEastAsia" w:eastAsiaTheme="minorEastAsia" w:cstheme="minorEastAsia"/>
        </w:rPr>
      </w:pPr>
      <w:bookmarkStart w:id="6" w:name="_Toc28886_WPSOffice_Level1"/>
      <w:bookmarkStart w:id="7" w:name="_Toc5994"/>
      <w:bookmarkStart w:id="8" w:name="_Toc18043"/>
      <w:bookmarkStart w:id="9" w:name="_Toc18573037"/>
      <w:bookmarkStart w:id="10" w:name="_Toc5440"/>
      <w:bookmarkStart w:id="11" w:name="_Toc17353_WPSOffice_Level1"/>
      <w:bookmarkStart w:id="12" w:name="_Toc11382"/>
      <w:bookmarkStart w:id="13" w:name="_Toc81"/>
      <w:bookmarkStart w:id="14" w:name="_Toc385235352"/>
      <w:bookmarkStart w:id="15" w:name="_Toc24269"/>
      <w:bookmarkStart w:id="16" w:name="_Toc16878"/>
      <w:bookmarkStart w:id="17" w:name="_Toc15954_WPSOffice_Level1"/>
      <w:bookmarkStart w:id="18" w:name="_Toc20756"/>
      <w:bookmarkStart w:id="19" w:name="_Toc12320"/>
      <w:bookmarkStart w:id="20" w:name="_Toc241227269"/>
      <w:bookmarkStart w:id="21" w:name="_Toc241226995"/>
      <w:r>
        <w:rPr>
          <w:rFonts w:hint="eastAsia" w:asciiTheme="minorEastAsia" w:hAnsiTheme="minorEastAsia" w:eastAsiaTheme="minorEastAsia" w:cstheme="minorEastAsia"/>
        </w:rPr>
        <w:br w:type="page"/>
      </w:r>
    </w:p>
    <w:p>
      <w:pPr>
        <w:pStyle w:val="5"/>
        <w:rPr>
          <w:rFonts w:hint="eastAsia" w:asciiTheme="minorEastAsia" w:hAnsiTheme="minorEastAsia" w:eastAsiaTheme="minorEastAsia" w:cstheme="minorEastAsia"/>
          <w:b/>
          <w:bCs w:val="0"/>
          <w:sz w:val="32"/>
          <w:szCs w:val="32"/>
        </w:rPr>
      </w:pPr>
      <w:r>
        <w:rPr>
          <w:rFonts w:hint="eastAsia" w:asciiTheme="minorEastAsia" w:hAnsiTheme="minorEastAsia" w:eastAsiaTheme="minorEastAsia" w:cstheme="minorEastAsia"/>
          <w:b/>
          <w:bCs w:val="0"/>
          <w:sz w:val="32"/>
          <w:szCs w:val="32"/>
        </w:rPr>
        <w:t>第二章 服务商须知</w:t>
      </w:r>
      <w:bookmarkEnd w:id="6"/>
      <w:bookmarkEnd w:id="7"/>
      <w:bookmarkEnd w:id="8"/>
      <w:bookmarkEnd w:id="9"/>
      <w:bookmarkEnd w:id="10"/>
      <w:bookmarkEnd w:id="11"/>
    </w:p>
    <w:p>
      <w:pPr>
        <w:ind w:firstLine="440"/>
        <w:rPr>
          <w:rFonts w:hint="eastAsia" w:asciiTheme="minorEastAsia" w:hAnsiTheme="minorEastAsia" w:eastAsiaTheme="minorEastAsia" w:cstheme="minorEastAsia"/>
        </w:rPr>
      </w:pPr>
    </w:p>
    <w:tbl>
      <w:tblPr>
        <w:tblStyle w:val="36"/>
        <w:tblW w:w="922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800"/>
        <w:gridCol w:w="64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条款号</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条款名称</w:t>
            </w:r>
          </w:p>
        </w:tc>
        <w:tc>
          <w:tcPr>
            <w:tcW w:w="6465" w:type="dxa"/>
            <w:tcBorders>
              <w:tl2br w:val="nil"/>
              <w:tr2bl w:val="nil"/>
            </w:tcBorders>
            <w:vAlign w:val="center"/>
          </w:tcPr>
          <w:p>
            <w:pPr>
              <w:pStyle w:val="55"/>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编列内容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465" w:type="dxa"/>
            <w:tcBorders>
              <w:tl2br w:val="nil"/>
              <w:tr2bl w:val="nil"/>
            </w:tcBorders>
            <w:vAlign w:val="center"/>
          </w:tcPr>
          <w:p>
            <w:pPr>
              <w:pStyle w:val="55"/>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采购人：安徽大别山国有资产投资（控股）集团有限公司</w:t>
            </w:r>
          </w:p>
          <w:p>
            <w:pPr>
              <w:pStyle w:val="55"/>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地  址：安徽霍山经济开发区高桥湾路</w:t>
            </w:r>
          </w:p>
          <w:p>
            <w:pPr>
              <w:pStyle w:val="55"/>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联系人：李先生</w:t>
            </w:r>
          </w:p>
          <w:p>
            <w:pPr>
              <w:pStyle w:val="55"/>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电  话：0564-5020100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项目名称</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霍山县兴水生态工程社会稳定风险评估项目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项目地点</w:t>
            </w:r>
          </w:p>
        </w:tc>
        <w:tc>
          <w:tcPr>
            <w:tcW w:w="6465" w:type="dxa"/>
            <w:tcBorders>
              <w:tl2br w:val="nil"/>
              <w:tr2bl w:val="nil"/>
            </w:tcBorders>
            <w:vAlign w:val="center"/>
          </w:tcPr>
          <w:p>
            <w:pPr>
              <w:pStyle w:val="55"/>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lang w:eastAsia="zh-CN"/>
              </w:rPr>
              <w:t>霍山</w:t>
            </w:r>
            <w:r>
              <w:rPr>
                <w:rFonts w:hint="eastAsia" w:asciiTheme="minorEastAsia" w:hAnsiTheme="minorEastAsia" w:eastAsiaTheme="minorEastAsia" w:cstheme="minorEastAsia"/>
                <w:lang w:val="en-US" w:eastAsia="zh-CN"/>
              </w:rPr>
              <w:t>县衡山镇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4</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资金来源及比例</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企业自筹资金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5</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资金落实情况</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6</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项目范围</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详见采购需求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7</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服务期</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合同生效后</w:t>
            </w:r>
            <w:r>
              <w:rPr>
                <w:rFonts w:hint="eastAsia" w:asciiTheme="minorEastAsia" w:hAnsiTheme="minorEastAsia" w:eastAsiaTheme="minorEastAsia" w:cstheme="minorEastAsia"/>
                <w:color w:val="auto"/>
                <w:lang w:val="en-US" w:eastAsia="zh-CN"/>
              </w:rPr>
              <w:t>15天内完成报告（一式八份</w:t>
            </w:r>
            <w:r>
              <w:rPr>
                <w:rFonts w:hint="eastAsia" w:asciiTheme="minorEastAsia" w:hAnsiTheme="minorEastAsia" w:eastAsiaTheme="minorEastAsia" w:cstheme="minor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8</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质量要求</w:t>
            </w:r>
          </w:p>
        </w:tc>
        <w:tc>
          <w:tcPr>
            <w:tcW w:w="6465" w:type="dxa"/>
            <w:tcBorders>
              <w:tl2br w:val="nil"/>
              <w:tr2bl w:val="nil"/>
            </w:tcBorders>
            <w:vAlign w:val="center"/>
          </w:tcPr>
          <w:p>
            <w:pPr>
              <w:pStyle w:val="55"/>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9</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安全目标</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无安全责任事故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10</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服务商资质条件、能力和信誉</w:t>
            </w:r>
          </w:p>
        </w:tc>
        <w:tc>
          <w:tcPr>
            <w:tcW w:w="6465" w:type="dxa"/>
            <w:tcBorders>
              <w:tl2br w:val="nil"/>
              <w:tr2bl w:val="nil"/>
            </w:tcBorders>
            <w:vAlign w:val="center"/>
          </w:tcPr>
          <w:p>
            <w:pPr>
              <w:pStyle w:val="55"/>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见</w:t>
            </w: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霍山县兴水生态工程社会稳定风险评估项目</w:t>
            </w:r>
            <w:r>
              <w:rPr>
                <w:rFonts w:hint="eastAsia" w:asciiTheme="minorEastAsia" w:hAnsiTheme="minorEastAsia" w:eastAsiaTheme="minorEastAsia" w:cstheme="minorEastAsia"/>
              </w:rPr>
              <w:t>询比采购公告</w:t>
            </w:r>
            <w:r>
              <w:rPr>
                <w:rFonts w:hint="eastAsia" w:asciiTheme="minorEastAsia" w:hAnsiTheme="minorEastAsia" w:eastAsiaTheme="minorEastAsia" w:cstheme="minorEastAsia"/>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11</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是否接受联合体报价</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不接受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12</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服务商不得存在的其他关联情形</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与采购人存在利害关系且可能影响询比采购公正性；</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(2)与本询比采购项目的其他服务商为同一个单位负责人；</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(3)与本询比采购项目的其他服务商存在控股、管理关系；</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(4)与本项目的相关采购人存在隶属关系或者其他利害关系；</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(5)被依法暂停或者取消报价资格；</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(6)被责令停产停业、暂扣或者吊销许可证、暂扣或者吊销执照；</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(7)进入清算程序，或被宣告破产，或其他丧失履约能力的情形；</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(8)在最近三年内发生发生过重大质量、安全责任事故(以相关行业主管部门的行政处罚决定或司法机关出具的有关法律文书为准)；</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(9)法律法规规定的其他情形。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13</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服务商不得存在的其他不良状况或不良信用</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在“信用中国”网站（http://www.creditchina.gov.cn）中被列入失信被执行人名单。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14</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踏勘现场</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不组织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15</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报价预备会</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不召开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16</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分包</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17</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构成询比采购文件的其他材料</w:t>
            </w:r>
          </w:p>
        </w:tc>
        <w:tc>
          <w:tcPr>
            <w:tcW w:w="6465" w:type="dxa"/>
            <w:tcBorders>
              <w:tl2br w:val="nil"/>
              <w:tr2bl w:val="nil"/>
            </w:tcBorders>
            <w:vAlign w:val="center"/>
          </w:tcPr>
          <w:p>
            <w:pPr>
              <w:pStyle w:val="55"/>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采购人发布的有关本次询比采购的补遗书（澄清与修改）等</w:t>
            </w:r>
            <w:r>
              <w:rPr>
                <w:rFonts w:hint="eastAsia" w:asciiTheme="minorEastAsia" w:hAnsiTheme="minorEastAsia" w:eastAsiaTheme="minorEastAsia" w:cstheme="minorEastAsia"/>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18</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服务商要求澄清询比采购文件的截止时间</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时间：递交报价文件截止之日1天前；</w:t>
            </w:r>
          </w:p>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形式：书面形式（如邮件、信函、传真等）。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19</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询比采购文件澄清发出的形式</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询比采购文件澄清将在</w:t>
            </w:r>
            <w:r>
              <w:rPr>
                <w:rFonts w:hint="eastAsia" w:asciiTheme="minorEastAsia" w:hAnsiTheme="minorEastAsia" w:eastAsiaTheme="minorEastAsia" w:cstheme="minorEastAsia"/>
                <w:b/>
                <w:bCs/>
                <w:color w:val="000000"/>
              </w:rPr>
              <w:t>安徽大别山国投集团（www.ahdmig.cn）</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"http://www.ahjkjt.com）发布，投标人应自行下载。/"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发出，服务商应自行下载。</w:t>
            </w:r>
            <w:r>
              <w:rPr>
                <w:rFonts w:hint="eastAsia" w:asciiTheme="minorEastAsia" w:hAnsiTheme="minorEastAsia" w:eastAsiaTheme="minorEastAsia" w:cstheme="minorEastAsia"/>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服务商确认收到询比采购文件澄清</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服务商应关注采购公告载明的网站，及时下载询比采购文件澄清。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21</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询比采购文件修改发出的形式</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询比采购文件修改将在</w:t>
            </w:r>
            <w:r>
              <w:rPr>
                <w:rFonts w:hint="eastAsia" w:asciiTheme="minorEastAsia" w:hAnsiTheme="minorEastAsia" w:eastAsiaTheme="minorEastAsia" w:cstheme="minorEastAsia"/>
                <w:b/>
                <w:bCs/>
                <w:color w:val="000000"/>
              </w:rPr>
              <w:t>安徽大别山国投集团（www.ahdmig.cn）</w:t>
            </w:r>
            <w:r>
              <w:rPr>
                <w:rFonts w:hint="eastAsia" w:asciiTheme="minorEastAsia" w:hAnsiTheme="minorEastAsia" w:eastAsiaTheme="minorEastAsia" w:cstheme="minorEastAsia"/>
              </w:rPr>
              <w:t>发出，服务商应自行下载。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22</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服务商确认收到询比采购文件修改</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服务商应关注采购公告载明的网站，及时下载询比采购文件修改，</w:t>
            </w:r>
            <w:r>
              <w:rPr>
                <w:rFonts w:hint="eastAsia" w:asciiTheme="minorEastAsia" w:hAnsiTheme="minorEastAsia" w:eastAsiaTheme="minorEastAsia" w:cstheme="minorEastAsia"/>
                <w:szCs w:val="21"/>
              </w:rPr>
              <w:t>无需回复确认</w:t>
            </w:r>
            <w:r>
              <w:rPr>
                <w:rFonts w:hint="eastAsia" w:asciiTheme="minorEastAsia" w:hAnsiTheme="minorEastAsia" w:eastAsiaTheme="minorEastAsia" w:cstheme="minorEastAsi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23</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报价文件包含的内容</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见报价清单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24</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构成报价文件的其他材料</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25</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增值税税金的计算方法</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报价为含税价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26</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报价方式和</w:t>
            </w:r>
          </w:p>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最高报价限价</w:t>
            </w:r>
          </w:p>
        </w:tc>
        <w:tc>
          <w:tcPr>
            <w:tcW w:w="6465" w:type="dxa"/>
            <w:tcBorders>
              <w:tl2br w:val="nil"/>
              <w:tr2bl w:val="nil"/>
            </w:tcBorders>
            <w:vAlign w:val="center"/>
          </w:tcPr>
          <w:p>
            <w:pPr>
              <w:pStyle w:val="55"/>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报价不得超过最高限价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27</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付款方式</w:t>
            </w:r>
          </w:p>
        </w:tc>
        <w:tc>
          <w:tcPr>
            <w:tcW w:w="6465" w:type="dxa"/>
            <w:tcBorders>
              <w:tl2br w:val="nil"/>
              <w:tr2bl w:val="nil"/>
            </w:tcBorders>
            <w:vAlign w:val="center"/>
          </w:tcPr>
          <w:p>
            <w:pPr>
              <w:pStyle w:val="55"/>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lang w:val="en-US" w:eastAsia="zh-CN"/>
              </w:rPr>
              <w:t>完成所有评估工作，评估报告通过评审并取得批复意见，提交最终版报告5个工作日内付清合同款。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28</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是否接受调价函</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29</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报价的其他要求</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30</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报价有效期</w:t>
            </w:r>
          </w:p>
        </w:tc>
        <w:tc>
          <w:tcPr>
            <w:tcW w:w="6465" w:type="dxa"/>
            <w:tcBorders>
              <w:tl2br w:val="nil"/>
              <w:tr2bl w:val="nil"/>
            </w:tcBorders>
            <w:vAlign w:val="center"/>
          </w:tcPr>
          <w:p>
            <w:pPr>
              <w:pStyle w:val="55"/>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自服务商提交报价文件截止之日起计算</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0天</w:t>
            </w:r>
            <w:r>
              <w:rPr>
                <w:rFonts w:hint="eastAsia" w:asciiTheme="minorEastAsia" w:hAnsiTheme="minorEastAsia" w:eastAsiaTheme="minorEastAsia" w:cstheme="minor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31</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报价保证金</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见公告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32</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资格审查资料的特殊要求</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33</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近年财务状况的年份要求</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34</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近年完成的类似项目的年份要求</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35</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是否允许递交备选报价方案</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36</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报价文件副本份数</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副本份数</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37</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报价文件正本和副本标记</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正本和副本的封面右上角应清楚地标记“正本”或“副本”的字样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38</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报价文件（纸质版）装订其他要求</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05" w:hRule="atLeast"/>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39</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封套上应载明的信息</w:t>
            </w:r>
          </w:p>
        </w:tc>
        <w:tc>
          <w:tcPr>
            <w:tcW w:w="6465" w:type="dxa"/>
            <w:tcBorders>
              <w:tl2br w:val="nil"/>
              <w:tr2bl w:val="nil"/>
            </w:tcBorders>
            <w:vAlign w:val="center"/>
          </w:tcPr>
          <w:tbl>
            <w:tblPr>
              <w:tblStyle w:val="36"/>
              <w:tblW w:w="5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5174" w:type="dxa"/>
                  <w:vAlign w:val="center"/>
                </w:tcPr>
                <w:p>
                  <w:pPr>
                    <w:pStyle w:val="55"/>
                    <w:jc w:val="center"/>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color w:val="000000" w:themeColor="text1"/>
                      <w:kern w:val="2"/>
                      <w:sz w:val="22"/>
                      <w:szCs w:val="22"/>
                      <w:u w:val="single"/>
                      <w:lang w:val="en-US" w:eastAsia="zh-CN" w:bidi="ar-SA"/>
                      <w14:textFill>
                        <w14:solidFill>
                          <w14:schemeClr w14:val="tx1"/>
                        </w14:solidFill>
                      </w14:textFill>
                    </w:rPr>
                    <w:t xml:space="preserve"> 霍山县兴水生态工程社会稳定风险评估项目</w:t>
                  </w:r>
                  <w:r>
                    <w:rPr>
                      <w:rFonts w:hint="eastAsia" w:asciiTheme="minorEastAsia" w:hAnsiTheme="minorEastAsia" w:eastAsiaTheme="minorEastAsia" w:cstheme="minorEastAsia"/>
                      <w:sz w:val="21"/>
                      <w:szCs w:val="21"/>
                      <w:u w:val="single"/>
                    </w:rPr>
                    <w:t xml:space="preserve"> </w:t>
                  </w:r>
                </w:p>
                <w:p>
                  <w:pPr>
                    <w:pStyle w:val="55"/>
                    <w:jc w:val="center"/>
                    <w:rPr>
                      <w:rFonts w:hint="eastAsia" w:asciiTheme="minorEastAsia" w:hAnsiTheme="minorEastAsia" w:eastAsiaTheme="minorEastAsia" w:cstheme="minorEastAsia"/>
                      <w:sz w:val="20"/>
                    </w:rPr>
                  </w:pPr>
                  <w:r>
                    <w:rPr>
                      <w:rFonts w:hint="eastAsia" w:asciiTheme="minorEastAsia" w:hAnsiTheme="minorEastAsia" w:eastAsiaTheme="minorEastAsia" w:cstheme="minorEastAsia"/>
                      <w:sz w:val="20"/>
                    </w:rPr>
                    <w:t>报价文件</w:t>
                  </w:r>
                </w:p>
                <w:p>
                  <w:pPr>
                    <w:pStyle w:val="55"/>
                    <w:rPr>
                      <w:rFonts w:hint="eastAsia" w:asciiTheme="minorEastAsia" w:hAnsiTheme="minorEastAsia" w:eastAsiaTheme="minorEastAsia" w:cstheme="minorEastAsia"/>
                      <w:sz w:val="20"/>
                    </w:rPr>
                  </w:pPr>
                  <w:r>
                    <w:rPr>
                      <w:rFonts w:hint="eastAsia" w:asciiTheme="minorEastAsia" w:hAnsiTheme="minorEastAsia" w:eastAsiaTheme="minorEastAsia" w:cstheme="minorEastAsia"/>
                      <w:sz w:val="20"/>
                    </w:rPr>
                    <w:t>在</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年</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月</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日</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时</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分（递交截止时间）前不得开启</w:t>
                  </w:r>
                </w:p>
                <w:p>
                  <w:pPr>
                    <w:pStyle w:val="55"/>
                    <w:rPr>
                      <w:rFonts w:hint="eastAsia" w:asciiTheme="minorEastAsia" w:hAnsiTheme="minorEastAsia" w:eastAsiaTheme="minorEastAsia" w:cstheme="minorEastAsia"/>
                      <w:sz w:val="20"/>
                    </w:rPr>
                  </w:pPr>
                  <w:r>
                    <w:rPr>
                      <w:rFonts w:hint="eastAsia" w:asciiTheme="minorEastAsia" w:hAnsiTheme="minorEastAsia" w:eastAsiaTheme="minorEastAsia" w:cstheme="minorEastAsia"/>
                      <w:sz w:val="20"/>
                    </w:rPr>
                    <w:t>服务商名称：</w:t>
                  </w:r>
                  <w:r>
                    <w:rPr>
                      <w:rFonts w:hint="eastAsia" w:asciiTheme="minorEastAsia" w:hAnsiTheme="minorEastAsia" w:eastAsiaTheme="minorEastAsia" w:cstheme="minorEastAsia"/>
                      <w:sz w:val="20"/>
                      <w:u w:val="single"/>
                    </w:rPr>
                    <w:t xml:space="preserve">                      </w:t>
                  </w:r>
                </w:p>
              </w:tc>
            </w:tr>
          </w:tbl>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0"/>
              </w:rPr>
              <w:t>注：</w:t>
            </w:r>
            <w:r>
              <w:rPr>
                <w:rFonts w:hint="eastAsia" w:asciiTheme="minorEastAsia" w:hAnsiTheme="minorEastAsia" w:eastAsiaTheme="minorEastAsia" w:cstheme="minorEastAsia"/>
                <w:sz w:val="20"/>
                <w:szCs w:val="18"/>
              </w:rPr>
              <w:t>封套应加贴封条，并在封套的封口处加盖服务商单位章或由服务商的法定代表人或者委托代理人签字。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40</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递交报价文件地点</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见询比采购公告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41</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是否退还报价文件</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不予退还。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42</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开启时间和地点</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开启时间：同报价截止时间</w:t>
            </w:r>
          </w:p>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开启地点：同递交报价文件地点</w:t>
            </w:r>
          </w:p>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服务商应派法定代表人或委托代理人参加。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43</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询比</w:t>
            </w:r>
            <w:r>
              <w:rPr>
                <w:rFonts w:hint="eastAsia" w:asciiTheme="minorEastAsia" w:hAnsiTheme="minorEastAsia" w:eastAsiaTheme="minorEastAsia" w:cstheme="minorEastAsia"/>
                <w:sz w:val="21"/>
                <w:szCs w:val="21"/>
              </w:rPr>
              <w:t>小组的组建</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询比</w:t>
            </w:r>
            <w:r>
              <w:rPr>
                <w:rFonts w:hint="eastAsia" w:asciiTheme="minorEastAsia" w:hAnsiTheme="minorEastAsia" w:eastAsiaTheme="minorEastAsia" w:cstheme="minorEastAsia"/>
                <w:sz w:val="21"/>
                <w:szCs w:val="21"/>
              </w:rPr>
              <w:t>小组构成，：由采购人组建。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44</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询比</w:t>
            </w:r>
            <w:r>
              <w:rPr>
                <w:rFonts w:hint="eastAsia" w:asciiTheme="minorEastAsia" w:hAnsiTheme="minorEastAsia" w:eastAsiaTheme="minorEastAsia" w:cstheme="minorEastAsia"/>
                <w:sz w:val="21"/>
                <w:szCs w:val="21"/>
              </w:rPr>
              <w:t>小组推荐成交候选人的人数</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rPr>
              <w:t>1家。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45</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成交候选人公示媒介及期限</w:t>
            </w:r>
          </w:p>
        </w:tc>
        <w:tc>
          <w:tcPr>
            <w:tcW w:w="6465" w:type="dxa"/>
            <w:tcBorders>
              <w:tl2br w:val="nil"/>
              <w:tr2bl w:val="nil"/>
            </w:tcBorders>
            <w:vAlign w:val="center"/>
          </w:tcPr>
          <w:p>
            <w:pPr>
              <w:pStyle w:val="5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公示媒介：</w:t>
            </w:r>
            <w:r>
              <w:rPr>
                <w:rFonts w:hint="eastAsia" w:asciiTheme="minorEastAsia" w:hAnsiTheme="minorEastAsia" w:eastAsiaTheme="minorEastAsia" w:cstheme="minorEastAsia"/>
                <w:b/>
                <w:bCs/>
                <w:color w:val="000000"/>
              </w:rPr>
              <w:t>安徽大别山国投集团（www.ahdmig.cn）</w:t>
            </w:r>
          </w:p>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公示期限：1个工作日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46</w:t>
            </w:r>
          </w:p>
        </w:tc>
        <w:tc>
          <w:tcPr>
            <w:tcW w:w="1800" w:type="dxa"/>
            <w:tcBorders>
              <w:tl2br w:val="nil"/>
              <w:tr2bl w:val="nil"/>
            </w:tcBorders>
            <w:vAlign w:val="center"/>
          </w:tcPr>
          <w:p>
            <w:pPr>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szCs w:val="21"/>
              </w:rPr>
              <w:t>确定成交候选人</w:t>
            </w:r>
          </w:p>
        </w:tc>
        <w:tc>
          <w:tcPr>
            <w:tcW w:w="6465" w:type="dxa"/>
            <w:tcBorders>
              <w:tl2br w:val="nil"/>
              <w:tr2bl w:val="nil"/>
            </w:tcBorders>
            <w:vAlign w:val="center"/>
          </w:tcPr>
          <w:p>
            <w:pPr>
              <w:topLinePunct/>
              <w:ind w:firstLine="0" w:firstLineChars="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见评审办法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47</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是否授权</w:t>
            </w:r>
            <w:r>
              <w:rPr>
                <w:rFonts w:hint="eastAsia" w:asciiTheme="minorEastAsia" w:hAnsiTheme="minorEastAsia" w:eastAsiaTheme="minorEastAsia" w:cstheme="minorEastAsia"/>
                <w:sz w:val="21"/>
                <w:szCs w:val="21"/>
                <w:lang w:val="en-US" w:eastAsia="zh-CN"/>
              </w:rPr>
              <w:t>询比</w:t>
            </w:r>
            <w:r>
              <w:rPr>
                <w:rFonts w:hint="eastAsia" w:asciiTheme="minorEastAsia" w:hAnsiTheme="minorEastAsia" w:eastAsiaTheme="minorEastAsia" w:cstheme="minorEastAsia"/>
                <w:sz w:val="21"/>
                <w:szCs w:val="21"/>
              </w:rPr>
              <w:t>小组确定成交人</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48</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成交通知书和成交结果通知发出的形式</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书面形式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49</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履约保证金</w:t>
            </w:r>
          </w:p>
        </w:tc>
        <w:tc>
          <w:tcPr>
            <w:tcW w:w="6465" w:type="dxa"/>
            <w:tcBorders>
              <w:tl2br w:val="nil"/>
              <w:tr2bl w:val="nil"/>
            </w:tcBorders>
            <w:vAlign w:val="center"/>
          </w:tcPr>
          <w:p>
            <w:pPr>
              <w:pStyle w:val="55"/>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kern w:val="2"/>
                <w:sz w:val="21"/>
                <w:szCs w:val="21"/>
              </w:rPr>
              <w:t>是否要求成交人提交履约保证金：</w:t>
            </w:r>
          </w:p>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szCs w:val="21"/>
              </w:rPr>
              <w:t>50</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签约合同价的确定原则</w:t>
            </w:r>
          </w:p>
        </w:tc>
        <w:tc>
          <w:tcPr>
            <w:tcW w:w="6465" w:type="dxa"/>
            <w:tcBorders>
              <w:tl2br w:val="nil"/>
              <w:tr2bl w:val="nil"/>
            </w:tcBorders>
            <w:vAlign w:val="center"/>
          </w:tcPr>
          <w:p>
            <w:pPr>
              <w:pStyle w:val="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按照最终报价执行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51</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rPr>
              <w:t>是否采用电子招标报价方式</w:t>
            </w:r>
          </w:p>
        </w:tc>
        <w:tc>
          <w:tcPr>
            <w:tcW w:w="6465" w:type="dxa"/>
            <w:tcBorders>
              <w:tl2br w:val="nil"/>
              <w:tr2bl w:val="nil"/>
            </w:tcBorders>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55"/>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52</w:t>
            </w:r>
          </w:p>
        </w:tc>
        <w:tc>
          <w:tcPr>
            <w:tcW w:w="1800" w:type="dxa"/>
            <w:tcBorders>
              <w:tl2br w:val="nil"/>
              <w:tr2bl w:val="nil"/>
            </w:tcBorders>
            <w:vAlign w:val="center"/>
          </w:tcPr>
          <w:p>
            <w:pPr>
              <w:pStyle w:val="55"/>
              <w:jc w:val="center"/>
              <w:rPr>
                <w:rFonts w:hint="eastAsia" w:asciiTheme="minorEastAsia" w:hAnsiTheme="minorEastAsia" w:eastAsiaTheme="minorEastAsia" w:cstheme="minorEastAsia"/>
                <w:spacing w:val="-3"/>
                <w:sz w:val="21"/>
              </w:rPr>
            </w:pPr>
            <w:r>
              <w:rPr>
                <w:rFonts w:hint="eastAsia" w:asciiTheme="minorEastAsia" w:hAnsiTheme="minorEastAsia" w:eastAsiaTheme="minorEastAsia" w:cstheme="minorEastAsia"/>
                <w:spacing w:val="-3"/>
                <w:sz w:val="21"/>
                <w:lang w:val="en-US" w:eastAsia="zh-CN"/>
              </w:rPr>
              <w:t>采购代理服务费</w:t>
            </w:r>
          </w:p>
        </w:tc>
        <w:tc>
          <w:tcPr>
            <w:tcW w:w="6465" w:type="dxa"/>
            <w:tcBorders>
              <w:tl2br w:val="nil"/>
              <w:tr2bl w:val="nil"/>
            </w:tcBorders>
            <w:vAlign w:val="center"/>
          </w:tcPr>
          <w:p>
            <w:pPr>
              <w:autoSpaceDE w:val="0"/>
              <w:autoSpaceDN w:val="0"/>
              <w:adjustRightInd w:val="0"/>
              <w:snapToGrid w:val="0"/>
              <w:spacing w:line="360" w:lineRule="exact"/>
              <w:ind w:left="0" w:leftChars="0" w:firstLine="0" w:firstLineChars="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3"/>
                <w:sz w:val="21"/>
                <w:szCs w:val="22"/>
                <w:lang w:val="en-US" w:eastAsia="zh-CN" w:bidi="ar-SA"/>
              </w:rPr>
              <w:t>根据《政府采购代理机构暂行办法》（财库〔2018〕2号）规定，收取采购代理服务费用，代理服务费用标准参照国家计委计价格[2002]1980号、国家发展改革委发改价格[2011]534号、安徽省物价局皖价服[2008]210号规定，供应商成交后在领取成交通知书前缴纳采购代理服务费，本项目代理费一次性打包2000元，由中标人支付。</w:t>
            </w:r>
          </w:p>
        </w:tc>
      </w:tr>
    </w:tbl>
    <w:p>
      <w:pPr>
        <w:pStyle w:val="6"/>
        <w:jc w:val="left"/>
        <w:rPr>
          <w:rFonts w:hint="eastAsia" w:asciiTheme="minorEastAsia" w:hAnsiTheme="minorEastAsia" w:eastAsiaTheme="minorEastAsia" w:cstheme="minorEastAsia"/>
          <w:b/>
          <w:bCs/>
          <w:iCs w:val="0"/>
          <w:spacing w:val="-3"/>
          <w:kern w:val="0"/>
          <w:sz w:val="21"/>
          <w:szCs w:val="22"/>
          <w:lang w:val="en-US" w:eastAsia="zh-CN" w:bidi="ar-SA"/>
        </w:rPr>
      </w:pPr>
      <w:r>
        <w:rPr>
          <w:rFonts w:hint="eastAsia" w:asciiTheme="minorEastAsia" w:hAnsiTheme="minorEastAsia" w:eastAsiaTheme="minorEastAsia" w:cstheme="minorEastAsia"/>
          <w:b/>
          <w:bCs/>
          <w:iCs w:val="0"/>
          <w:spacing w:val="-3"/>
          <w:kern w:val="0"/>
          <w:sz w:val="21"/>
          <w:szCs w:val="22"/>
          <w:lang w:val="en-US" w:eastAsia="zh-CN" w:bidi="ar-SA"/>
        </w:rPr>
        <w:t>注：1.保证中标之后密切配合招标人及建设单位开展工作，保证中标之后按询比文件承诺在施工各个阶段向招标项目派驻技术人员协助建设单位工作。</w:t>
      </w:r>
    </w:p>
    <w:p>
      <w:pPr>
        <w:pStyle w:val="6"/>
        <w:jc w:val="left"/>
        <w:rPr>
          <w:rFonts w:hint="eastAsia" w:asciiTheme="minorEastAsia" w:hAnsiTheme="minorEastAsia" w:eastAsiaTheme="minorEastAsia" w:cstheme="minorEastAsia"/>
          <w:b/>
          <w:bCs/>
          <w:iCs w:val="0"/>
          <w:spacing w:val="-3"/>
          <w:kern w:val="0"/>
          <w:sz w:val="21"/>
          <w:szCs w:val="22"/>
          <w:lang w:val="en-US" w:eastAsia="zh-CN" w:bidi="ar-SA"/>
        </w:rPr>
      </w:pPr>
      <w:r>
        <w:rPr>
          <w:rFonts w:hint="eastAsia" w:asciiTheme="minorEastAsia" w:hAnsiTheme="minorEastAsia" w:eastAsiaTheme="minorEastAsia" w:cstheme="minorEastAsia"/>
          <w:b/>
          <w:bCs/>
          <w:iCs w:val="0"/>
          <w:spacing w:val="-3"/>
          <w:kern w:val="0"/>
          <w:sz w:val="21"/>
          <w:szCs w:val="22"/>
          <w:lang w:val="en-US" w:eastAsia="zh-CN" w:bidi="ar-SA"/>
        </w:rPr>
        <w:t>2.保证中标之后不转包、不分包、不挂靠资质。</w:t>
      </w:r>
    </w:p>
    <w:p>
      <w:pPr>
        <w:pStyle w:val="6"/>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b/>
          <w:sz w:val="36"/>
          <w:szCs w:val="36"/>
        </w:rPr>
        <w:br w:type="page"/>
      </w:r>
      <w:bookmarkEnd w:id="12"/>
      <w:bookmarkEnd w:id="13"/>
      <w:bookmarkEnd w:id="14"/>
      <w:bookmarkEnd w:id="15"/>
      <w:bookmarkEnd w:id="16"/>
      <w:bookmarkEnd w:id="17"/>
      <w:bookmarkEnd w:id="18"/>
      <w:bookmarkEnd w:id="19"/>
      <w:bookmarkEnd w:id="20"/>
      <w:bookmarkEnd w:id="21"/>
      <w:bookmarkStart w:id="22" w:name="_Toc11883"/>
      <w:bookmarkStart w:id="23" w:name="_Toc27202_WPSOffice_Level1"/>
      <w:bookmarkStart w:id="24" w:name="_Toc6227"/>
      <w:bookmarkStart w:id="25" w:name="_Toc32337_WPSOffice_Level1"/>
      <w:bookmarkStart w:id="26" w:name="_Toc18102"/>
      <w:bookmarkStart w:id="27" w:name="_Toc22028"/>
      <w:bookmarkStart w:id="28" w:name="_Toc2761"/>
      <w:bookmarkStart w:id="29" w:name="_Toc14456"/>
      <w:bookmarkStart w:id="30" w:name="_Toc28537"/>
      <w:bookmarkStart w:id="31" w:name="_Toc29487_WPSOffice_Level1"/>
    </w:p>
    <w:p>
      <w:pPr>
        <w:pStyle w:val="5"/>
        <w:rPr>
          <w:rFonts w:hint="eastAsia" w:asciiTheme="minorEastAsia" w:hAnsiTheme="minorEastAsia" w:eastAsiaTheme="minorEastAsia" w:cstheme="minorEastAsia"/>
          <w:b/>
          <w:bCs w:val="0"/>
          <w:sz w:val="32"/>
          <w:szCs w:val="32"/>
        </w:rPr>
      </w:pPr>
      <w:bookmarkStart w:id="32" w:name="_Toc18573038"/>
      <w:r>
        <w:rPr>
          <w:rFonts w:hint="eastAsia" w:asciiTheme="minorEastAsia" w:hAnsiTheme="minorEastAsia" w:eastAsiaTheme="minorEastAsia" w:cstheme="minorEastAsia"/>
          <w:b/>
          <w:bCs w:val="0"/>
          <w:sz w:val="32"/>
          <w:szCs w:val="32"/>
        </w:rPr>
        <w:t>第三章 评审办法</w:t>
      </w:r>
      <w:bookmarkEnd w:id="22"/>
      <w:bookmarkEnd w:id="23"/>
      <w:bookmarkEnd w:id="24"/>
      <w:bookmarkEnd w:id="25"/>
      <w:bookmarkEnd w:id="32"/>
    </w:p>
    <w:bookmarkEnd w:id="26"/>
    <w:bookmarkEnd w:id="27"/>
    <w:bookmarkEnd w:id="28"/>
    <w:bookmarkEnd w:id="29"/>
    <w:bookmarkEnd w:id="30"/>
    <w:bookmarkEnd w:id="31"/>
    <w:p>
      <w:pPr>
        <w:keepNext/>
        <w:keepLines/>
        <w:snapToGrid w:val="0"/>
        <w:spacing w:before="312" w:beforeLines="100" w:line="360" w:lineRule="auto"/>
        <w:ind w:firstLine="0" w:firstLineChars="0"/>
        <w:outlineLvl w:val="1"/>
        <w:rPr>
          <w:rFonts w:hint="eastAsia" w:asciiTheme="minorEastAsia" w:hAnsiTheme="minorEastAsia" w:eastAsiaTheme="minorEastAsia" w:cstheme="minorEastAsia"/>
          <w:bCs/>
          <w:kern w:val="2"/>
          <w:sz w:val="30"/>
          <w:szCs w:val="32"/>
        </w:rPr>
      </w:pPr>
      <w:bookmarkStart w:id="33" w:name="_Toc241227277"/>
      <w:r>
        <w:rPr>
          <w:rFonts w:hint="eastAsia" w:asciiTheme="minorEastAsia" w:hAnsiTheme="minorEastAsia" w:eastAsiaTheme="minorEastAsia" w:cstheme="minorEastAsia"/>
          <w:bCs/>
          <w:kern w:val="2"/>
          <w:sz w:val="30"/>
          <w:szCs w:val="32"/>
        </w:rPr>
        <w:t>3.1报价文件的评审</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1、评审工作由依法组建的询比小组负责。询比小组根据询比文件规定的方法和标准独立评审，负责完成评审的全过程并推荐成交候选人。</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2、审查服务商的报价是否超过采购预算：询比小组将审查每个服务商的报价，如超过采购预算，则其报价文件将被拒绝。</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3、审查服务商是否具备合格的服务商资格：询比小组将审查每个服务商提交的资格证明文件是否齐全、合法、有效，如果服务商没有按照要求提交全部证明文件，或者提交的资格证明文件是非法的、无效的，则其报价文件将被拒绝。</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4、审查报价文件是否实质性响应询比文件的要求:</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4.1对于经审查确定为资格合格的服务商，询比小组将审查其报价文件是否对询比文件的所有事项、格式、条款和技术规范等要求都做出了实质性响应。</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4.3报价文件有下列情形之一的属于重大偏离，将被作为废标处理：</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（1）报价文件未按询价文件规定有效签署和加盖公章的；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（2）报价文件载明的项目完成期限超过询价文件规定的；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（3）明显不符合询价文件规定的技术规格、标准以及商务条款要求的；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（4）报价文件服务标准和方法等明显不符合询价文件要求的；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（5）报价文件附有采购人不能接受的条件的；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（6）不符合询比文件规定的其他实质性要求的。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的审查：所有服务商的报价均以报价文件中报价表的总报价为准。询比文件报价表中的总报价即为评标价。报价文件中的分项报价合计与总报价不一致的，服务商应按总报价相应修改分项报价。如果服务商不按照上述原则修正其总报价及分项报价，则其报价文件将被拒绝。</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6、澄清：询比小组对报价文件中含义不明确、同类问题表述不一致或者有明显文字错误的内容，可以要求服务商在规定的时间内作出必要的澄清、说明或者补正。服务商的澄清、说明或者补正应当采用书面形式，由其法定代表人或授权代理人签字，并不得超出报价文件的范围或者改变报价文件的实质性内容。服务商拒不进行澄清、说明、补正的，或者不能在规定时间内作出书面澄清、说明、补正的，询比小组将否决其报价。</w:t>
      </w:r>
    </w:p>
    <w:p>
      <w:pPr>
        <w:keepNext/>
        <w:keepLines/>
        <w:snapToGrid w:val="0"/>
        <w:spacing w:before="312" w:beforeLines="100" w:line="360" w:lineRule="auto"/>
        <w:ind w:firstLine="0" w:firstLineChars="0"/>
        <w:outlineLvl w:val="1"/>
        <w:rPr>
          <w:rFonts w:hint="eastAsia" w:asciiTheme="minorEastAsia" w:hAnsiTheme="minorEastAsia" w:eastAsiaTheme="minorEastAsia" w:cstheme="minorEastAsia"/>
          <w:bCs/>
          <w:kern w:val="2"/>
          <w:sz w:val="30"/>
          <w:szCs w:val="32"/>
        </w:rPr>
      </w:pPr>
      <w:r>
        <w:rPr>
          <w:rFonts w:hint="eastAsia" w:asciiTheme="minorEastAsia" w:hAnsiTheme="minorEastAsia" w:eastAsiaTheme="minorEastAsia" w:cstheme="minorEastAsia"/>
          <w:bCs/>
          <w:kern w:val="2"/>
          <w:sz w:val="30"/>
          <w:szCs w:val="32"/>
        </w:rPr>
        <w:t>3.2否决或取消询比</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参照中华人民共和国政府采购</w:t>
      </w:r>
      <w:r>
        <w:rPr>
          <w:rFonts w:hint="eastAsia" w:asciiTheme="minorEastAsia" w:hAnsiTheme="minorEastAsia" w:eastAsiaTheme="minorEastAsia" w:cstheme="minorEastAsia"/>
          <w:lang w:val="en-US" w:eastAsia="zh-CN"/>
        </w:rPr>
        <w:t>法等</w:t>
      </w:r>
      <w:r>
        <w:rPr>
          <w:rFonts w:hint="eastAsia" w:asciiTheme="minorEastAsia" w:hAnsiTheme="minorEastAsia" w:eastAsiaTheme="minorEastAsia" w:cstheme="minorEastAsia"/>
        </w:rPr>
        <w:t>法律法规和《国有企业采购操作规范》的有关规定，出现下列情形之一的，询比小组将否决所有服务商的报价或取消采购活动：</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1、出现影响采购公正的违法、违规行为的；</w:t>
      </w:r>
    </w:p>
    <w:p>
      <w:pPr>
        <w:ind w:firstLine="440"/>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2、因重大变故，采购任务取消的</w:t>
      </w:r>
      <w:r>
        <w:rPr>
          <w:rFonts w:hint="eastAsia" w:asciiTheme="minorEastAsia" w:hAnsiTheme="minorEastAsia" w:eastAsiaTheme="minorEastAsia" w:cstheme="minorEastAsia"/>
          <w:lang w:eastAsia="zh-CN"/>
        </w:rPr>
        <w:t>；</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3、询比小组经评审认为所有</w:t>
      </w:r>
      <w:r>
        <w:rPr>
          <w:rFonts w:hint="eastAsia" w:asciiTheme="minorEastAsia" w:hAnsiTheme="minorEastAsia" w:eastAsiaTheme="minorEastAsia" w:cstheme="minorEastAsia"/>
          <w:lang w:eastAsia="zh-CN"/>
        </w:rPr>
        <w:t>询比</w:t>
      </w:r>
      <w:r>
        <w:rPr>
          <w:rFonts w:hint="eastAsia" w:asciiTheme="minorEastAsia" w:hAnsiTheme="minorEastAsia" w:eastAsiaTheme="minorEastAsia" w:cstheme="minorEastAsia"/>
        </w:rPr>
        <w:t>文件都不符合询比文件要求的。</w:t>
      </w:r>
    </w:p>
    <w:p>
      <w:pPr>
        <w:pStyle w:val="2"/>
        <w:ind w:left="0" w:leftChars="0" w:firstLine="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3.2.1如果参与的服务商不足2家的，可经采购人批准后，现场转为单一来源谈判方式采购。</w:t>
      </w:r>
    </w:p>
    <w:p>
      <w:pPr>
        <w:keepNext/>
        <w:keepLines/>
        <w:snapToGrid w:val="0"/>
        <w:spacing w:before="312" w:beforeLines="100" w:line="360" w:lineRule="auto"/>
        <w:ind w:firstLine="0" w:firstLineChars="0"/>
        <w:outlineLvl w:val="1"/>
        <w:rPr>
          <w:rFonts w:hint="eastAsia" w:asciiTheme="minorEastAsia" w:hAnsiTheme="minorEastAsia" w:eastAsiaTheme="minorEastAsia" w:cstheme="minorEastAsia"/>
          <w:bCs/>
          <w:kern w:val="2"/>
          <w:sz w:val="30"/>
          <w:szCs w:val="32"/>
        </w:rPr>
      </w:pPr>
      <w:r>
        <w:rPr>
          <w:rFonts w:hint="eastAsia" w:asciiTheme="minorEastAsia" w:hAnsiTheme="minorEastAsia" w:eastAsiaTheme="minorEastAsia" w:cstheme="minorEastAsia"/>
          <w:bCs/>
          <w:kern w:val="2"/>
          <w:sz w:val="30"/>
          <w:szCs w:val="32"/>
        </w:rPr>
        <w:t>3.3评审方法和标准</w:t>
      </w:r>
    </w:p>
    <w:p>
      <w:pPr>
        <w:pStyle w:val="2"/>
        <w:ind w:left="0" w:leftChars="0" w:firstLine="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3.3.1询比小组首先进行资格性审查、符合性审查。</w:t>
      </w:r>
    </w:p>
    <w:p>
      <w:pPr>
        <w:pStyle w:val="2"/>
        <w:ind w:left="0" w:leftChars="0" w:firstLine="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3.3.2询比小组按现场签到顺序分别邀请服务商对询比响应文件进行沟通评议，主要从服务商提供的服务方案、工作措施进行问话评议、沟通并比较</w:t>
      </w:r>
      <w:r>
        <w:rPr>
          <w:rFonts w:hint="eastAsia" w:asciiTheme="minorEastAsia" w:hAnsiTheme="minorEastAsia" w:eastAsiaTheme="minorEastAsia" w:cstheme="minorEastAsia"/>
          <w:sz w:val="22"/>
          <w:szCs w:val="22"/>
          <w:lang w:val="en-US" w:eastAsia="zh-CN"/>
        </w:rPr>
        <w:t>，采购人不保证服务商低价中标</w:t>
      </w:r>
      <w:r>
        <w:rPr>
          <w:rFonts w:hint="eastAsia" w:asciiTheme="minorEastAsia" w:hAnsiTheme="minorEastAsia" w:eastAsiaTheme="minorEastAsia" w:cstheme="minorEastAsia"/>
          <w:sz w:val="22"/>
          <w:szCs w:val="22"/>
        </w:rPr>
        <w:t>。</w:t>
      </w:r>
    </w:p>
    <w:p>
      <w:pPr>
        <w:pStyle w:val="2"/>
        <w:ind w:left="0" w:leftChars="0" w:firstLine="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3.3.3评议结束后，服务商再报出最终报价，由询比小组综合评审，推荐成交候选人。</w:t>
      </w:r>
    </w:p>
    <w:p>
      <w:pPr>
        <w:ind w:firstLine="440"/>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bookmarkStart w:id="34" w:name="_Toc480384250"/>
      <w:bookmarkStart w:id="35" w:name="_Toc30584"/>
      <w:bookmarkStart w:id="36" w:name="_Toc16753_WPSOffice_Level1"/>
      <w:bookmarkStart w:id="37" w:name="_Toc9117"/>
      <w:bookmarkStart w:id="38" w:name="_Toc19475"/>
      <w:bookmarkStart w:id="39" w:name="_Toc31146"/>
      <w:bookmarkStart w:id="40" w:name="_Toc6272_WPSOffice_Level1"/>
      <w:bookmarkStart w:id="41" w:name="_Toc6456"/>
      <w:bookmarkStart w:id="42" w:name="_Toc30037_WPSOffice_Level1"/>
    </w:p>
    <w:p>
      <w:pPr>
        <w:pStyle w:val="5"/>
        <w:jc w:val="center"/>
        <w:rPr>
          <w:rFonts w:hint="eastAsia" w:asciiTheme="minorEastAsia" w:hAnsiTheme="minorEastAsia" w:eastAsiaTheme="minorEastAsia" w:cstheme="minorEastAsia"/>
          <w:b/>
          <w:bCs w:val="0"/>
          <w:sz w:val="32"/>
          <w:szCs w:val="32"/>
        </w:rPr>
      </w:pPr>
      <w:bookmarkStart w:id="43" w:name="_Toc18573040"/>
      <w:r>
        <w:rPr>
          <w:rFonts w:hint="eastAsia" w:asciiTheme="minorEastAsia" w:hAnsiTheme="minorEastAsia" w:eastAsiaTheme="minorEastAsia" w:cstheme="minorEastAsia"/>
          <w:b/>
          <w:bCs w:val="0"/>
          <w:sz w:val="32"/>
          <w:szCs w:val="32"/>
        </w:rPr>
        <w:t xml:space="preserve">第四章 </w:t>
      </w:r>
      <w:bookmarkEnd w:id="34"/>
      <w:bookmarkEnd w:id="35"/>
      <w:bookmarkEnd w:id="36"/>
      <w:bookmarkEnd w:id="37"/>
      <w:bookmarkEnd w:id="38"/>
      <w:bookmarkEnd w:id="39"/>
      <w:bookmarkEnd w:id="40"/>
      <w:bookmarkEnd w:id="41"/>
      <w:bookmarkEnd w:id="42"/>
      <w:r>
        <w:rPr>
          <w:rFonts w:hint="eastAsia" w:asciiTheme="minorEastAsia" w:hAnsiTheme="minorEastAsia" w:eastAsiaTheme="minorEastAsia" w:cstheme="minorEastAsia"/>
          <w:b/>
          <w:bCs w:val="0"/>
          <w:sz w:val="32"/>
          <w:szCs w:val="32"/>
          <w:lang w:eastAsia="zh-CN"/>
        </w:rPr>
        <w:t>服务</w:t>
      </w:r>
      <w:r>
        <w:rPr>
          <w:rFonts w:hint="eastAsia" w:asciiTheme="minorEastAsia" w:hAnsiTheme="minorEastAsia" w:eastAsiaTheme="minorEastAsia" w:cstheme="minorEastAsia"/>
          <w:b/>
          <w:bCs w:val="0"/>
          <w:sz w:val="32"/>
          <w:szCs w:val="32"/>
        </w:rPr>
        <w:t>需求</w:t>
      </w:r>
      <w:bookmarkEnd w:id="43"/>
    </w:p>
    <w:p>
      <w:pPr>
        <w:pStyle w:val="69"/>
        <w:spacing w:line="360" w:lineRule="auto"/>
        <w:rPr>
          <w:rFonts w:hint="eastAsia" w:asciiTheme="minorEastAsia" w:hAnsiTheme="minorEastAsia" w:eastAsiaTheme="minorEastAsia" w:cstheme="minorEastAsia"/>
          <w:b/>
          <w:kern w:val="2"/>
          <w:sz w:val="28"/>
          <w:szCs w:val="28"/>
          <w:lang w:eastAsia="zh-CN"/>
        </w:rPr>
      </w:pPr>
      <w:bookmarkStart w:id="44" w:name="_Toc480384252"/>
      <w:bookmarkStart w:id="45" w:name="_Toc10290"/>
      <w:bookmarkStart w:id="46" w:name="_Toc26032"/>
      <w:bookmarkStart w:id="47" w:name="_Toc30919"/>
      <w:bookmarkStart w:id="48" w:name="_Toc13628_WPSOffice_Level1"/>
      <w:bookmarkStart w:id="49" w:name="_Toc4189"/>
      <w:bookmarkStart w:id="50" w:name="_Toc5141"/>
      <w:bookmarkStart w:id="51" w:name="_Toc2688_WPSOffice_Level1"/>
      <w:r>
        <w:rPr>
          <w:rFonts w:hint="eastAsia" w:asciiTheme="minorEastAsia" w:hAnsiTheme="minorEastAsia" w:eastAsiaTheme="minorEastAsia" w:cstheme="minorEastAsia"/>
          <w:b/>
          <w:kern w:val="2"/>
          <w:sz w:val="28"/>
          <w:szCs w:val="28"/>
          <w:lang w:eastAsia="zh-CN"/>
        </w:rPr>
        <w:t>一、项目简介：</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霍山县兴水生态工程报批总投资为</w:t>
      </w:r>
      <w:r>
        <w:rPr>
          <w:rFonts w:hint="eastAsia" w:asciiTheme="majorEastAsia" w:hAnsiTheme="majorEastAsia" w:eastAsiaTheme="majorEastAsia" w:cstheme="majorEastAsia"/>
          <w:color w:val="000000"/>
          <w:sz w:val="21"/>
          <w:szCs w:val="21"/>
          <w:lang w:val="en-US" w:eastAsia="zh-CN"/>
        </w:rPr>
        <w:t>8.2亿</w:t>
      </w:r>
      <w:r>
        <w:rPr>
          <w:rFonts w:hint="eastAsia" w:asciiTheme="majorEastAsia" w:hAnsiTheme="majorEastAsia" w:eastAsiaTheme="majorEastAsia" w:cstheme="majorEastAsia"/>
          <w:color w:val="000000"/>
          <w:sz w:val="21"/>
          <w:szCs w:val="21"/>
        </w:rPr>
        <w:t>元，包括供水工程和排水工程</w:t>
      </w:r>
      <w:r>
        <w:rPr>
          <w:rFonts w:hint="eastAsia" w:asciiTheme="majorEastAsia" w:hAnsiTheme="majorEastAsia" w:eastAsiaTheme="majorEastAsia" w:cstheme="majorEastAsia"/>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一、供水工程包括规模化供水工程、新建小型集中供水工程和集中供水改造。</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（一）规模化供水工程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lang w:val="en-US" w:eastAsia="zh-CN"/>
        </w:rPr>
        <w:t>.</w:t>
      </w:r>
      <w:r>
        <w:rPr>
          <w:rFonts w:hint="eastAsia" w:asciiTheme="majorEastAsia" w:hAnsiTheme="majorEastAsia" w:eastAsiaTheme="majorEastAsia" w:cstheme="majorEastAsia"/>
          <w:sz w:val="21"/>
          <w:szCs w:val="21"/>
        </w:rPr>
        <w:t>县城水厂管网延伸工程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利用县城自来水厂对周边下符桥镇、但家庙镇、与儿街镇、衡山镇、黑石渡镇、落儿岭镇、诸佛庵镇、佛子岭镇、经济开发区等8个乡镇和1个经济开发区进行管网延伸，覆盖49个行政村，范围内受益人口为13.2886万人，规划供水规模为2.4万m3/d。新建中途加压站18处，为鸟观嘴村加压站（0.06万m³/d）、指峰山村加压站（0.11万m³/d）、石河村加压站（0.24万m³/d）、下符桥加压站（0.30万m³/d）、但家庙加压站1（0.12万m³/d）、但家庙加压站2（0.06万m³/d）、牛角冲村加压站（0.13万m³/d）、通水灌村加压站（0.09万m³/d）、柳树店村加压站（0.11万m³/d）、落儿岭村加压站（0.17万m³/d）、朱家畈村加压站1（0.02万m³/d）、朱家畈村加压站2（0.52万m³/d）、朱家畈村加压站3（0.25万m³/d）、黄家畈村加压站（0.04万m³/d）、戴家河村加压站（0.28万m³/d）、大林加压站1（0.03万m³/d）、大林加压站2（0.03万m³/d）、大林加压站3（0.03万m³/d）。配水主管管材质采用球墨铸铁管和PE100管。工程实施后，保留供水范围内现状水厂，作为备用供水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2.与儿街高河水厂管网延伸工程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与儿街镇属东北部低山丘陵区供水分区，属城乡供水一体化工程服务范围。本次设计与儿街高河水厂与石河水厂、山王河水厂进行联网供水。</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3.但家庙水厂管网延伸</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本次设计但家庙水厂与观音岩水厂、胡大桥水厂进行联网供水。</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4.诸佛庵水厂管网延伸工程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规模化供水工程新建配水管径为DN400-DN32，长度约394.307km。</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（二）新建小型集中供水工程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本次新建小型12处集中供水工程，及1处备用水源工程，新增服务人口2.1831万人，新增供水规模为3040m3/d。其中水口供水工程新增供水规模为m3/d、石门供水工程新增供水规模为180m3/d、姜家畈供水工程新增供水规模为360m3/d、小溪桥供水工程新增供水规模为270m3/d、小庵子供水工程新增供水规模为220m3/d、南庄供水工程新增供水规模为220m3/d、多盘坳供水工程新增供水规模为710m3/d、良善铺供水工程新增供水规模为160m3/d、汪家铺供水工程新增供水规模为160m3/d、余家畈供水工程新增供水规模为180m3/d、城土供水工程新增供水规模为120m3/d、祝家岭供水工程新增供水规模为220m3/d。新建13座拦水坝及粗滤池，输水管线为两根，新建输水管线共12.478km，管径为DN160-DN75。新建12座小型净水厂，净水工艺采用一体化净水器，同时新建蓄水池、配套加药消毒设备，新建加药消毒间、办公管理房等建构筑物及相关配套设施。新建配水管网266.403km，管径为DN160-DN75。</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（三）集中供水改造工程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本次集中供水改造工程共83处，其中改建内容一为：现状水厂设备改造工程共64处，设计供水规模17580m3/d，水厂改造内容为水厂内现状净化设施更换为一体化净水器，并配套更换加药及消毒设备。</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扩建内容二为：管网、水厂及水源改造工程，涉及工程共19处，新增服务人口23107人，新增规模3395m3/d。其中1）涉及新增供水规模改造工程有11处，包括：漫水河水厂管网延伸改造工程，新增供水规模490m3/d；李家河村水厂改造及管网延伸工程，新增供水规模150m3/d；新铺沟水厂改造及管网延伸改造工程，新增供水规模155m3/d；扫帚河水厂及管网延伸改造工程，新增供水规模495m3/d；船仓村水厂改造及管网延伸工程，新增供水规模100m3/d；杨家河水厂改造工程，新增供水规模85m3/d；石河水厂管网延伸改造工程，新增供水规模90m3/d；胡家河水厂改造及管网延伸工程，新增供水规模780m3/d；宋家河村水厂改造及管网延伸工程，新增供水规模640m3/d；小佛子岭水厂管网延伸改造工程，新增供水规模40m3/d；新店河自来水厂管网延伸改造工程，新增供水规模370m3/d。2）新建备用水源或水厂及管道改造工程8处，包含：歇马台水厂管网延伸工程；东风桥水厂新建水源工程；新开岭水厂改造及新建水源工程；太阳水厂改造工程；金竹坪村水厂改造工程；磨子潭水厂改造工程；太平水厂新建备用水源工程；上土市镇水厂新建水源及管网延伸改造工程。新建输水管线40.70km，管径为dn200-dn75；配水管网243.58km，管径为dn160-dn32。</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二、排水工程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排水工程主要包括：安徽霍山经济开发区污水处理厂二期及污水管网建设项目、西部迎驾生态新城污水处理厂工程、城区雨污分流及污水截流改造工程。主要建设内容有：</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b w:val="0"/>
          <w:bCs/>
          <w:sz w:val="21"/>
          <w:szCs w:val="21"/>
        </w:rPr>
      </w:pPr>
      <w:r>
        <w:rPr>
          <w:rFonts w:hint="eastAsia" w:asciiTheme="majorEastAsia" w:hAnsiTheme="majorEastAsia" w:eastAsiaTheme="majorEastAsia" w:cstheme="majorEastAsia"/>
          <w:b w:val="0"/>
          <w:bCs/>
          <w:sz w:val="21"/>
          <w:szCs w:val="21"/>
        </w:rPr>
        <w:t>1、安徽霍山经济开发区污水处理厂二期及污水管网建设项目</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（1）建设霍山经济开发区污水处理厂二期工程1座，处理规模2.0万m3/d，厂址位于一期工程的东侧。排放标准执行一级A标准，通过涵管自流排入移洋湾湿地，最终进入东淠河。</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（2）应急备用电源1套，即新建经开区污水处理厂一路专用外线；</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新建污水管网28.22km；包括双山路（望岳路至淠滨南路）、燕窝南路（高桥路至淠滨南路）、高新路（东坡路至飞凤路）、莲花路（飞凤路至桃园路）、淠滨南路（象山路至桃园路）、龙门路（利民路至迎宾大道）、纬五路（创业大道至105国道）、纬六路（创业大道至105国道）、拓一路（迎驾大道至创业大道）、淠河东路进厂污水管（创新路至污水厂）、安园大道（高桥湾路至外环路）、象山路（杜家冲路至淠滨南路）、望岳路（象山路至桃园路）、涛浪路（望岳路至淠滨南路）、柳林河路（外环路至西部迎驾）、经六路（高桥湾路至外环路）、源牌路（高桥湾路至外环路）等17条道路。</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（4）污水管网改造15.0km；</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开发区污水管网设施标准不高、老化以及污水系统不完善，局部地区污水管网不配套，部分地方污水没有出路，为有效改变这一现状，通过调整、改造、完善开发区内的污水收集系统。</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根据开发区污水管网建设现状，暂列污水管网改造15.0km。</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2、西部迎驾生态新城污水处理厂工程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新建污水处理厂1座，处理规模2.0万m</w:t>
      </w:r>
      <w:r>
        <w:rPr>
          <w:rFonts w:hint="eastAsia" w:asciiTheme="majorEastAsia" w:hAnsiTheme="majorEastAsia" w:eastAsiaTheme="majorEastAsia" w:cstheme="majorEastAsia"/>
          <w:sz w:val="21"/>
          <w:szCs w:val="21"/>
          <w:vertAlign w:val="superscript"/>
        </w:rPr>
        <w:t>3</w:t>
      </w:r>
      <w:r>
        <w:rPr>
          <w:rFonts w:hint="eastAsia" w:asciiTheme="majorEastAsia" w:hAnsiTheme="majorEastAsia" w:eastAsiaTheme="majorEastAsia" w:cstheme="majorEastAsia"/>
          <w:sz w:val="21"/>
          <w:szCs w:val="21"/>
        </w:rPr>
        <w:t>/d。厂址位于淠河西路与柳林河大堤相交西南处。排放标准执行一级A标准，尾水直接排入柳林河。污水处理厂占地47.4亩。</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3、城区雨污分流及污水截流改造工程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（1）城区道路雨污分流及污水截流改造工程新建污水管网约12.88km。</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主要包括文峰小学校区周边道路(纬六路至纬七路)、淠河西路（迎驾厂街心公园-外环路）、酒源大道（迎宾大道-迎驾大道）、山南路（迎驾大道-迎宾大道）、黑石渡路（诸佛庵路-南城河）、高桥湾跨东淠河段、淠河路（北门口至衡山路段）、淠源路(潜台路至文峰北路)、淠河路（衡山路至文峰北路）、潜台路（沛源路至诸佛庵路）共10条道路雨污分流及污水截流改造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（2）城区小区雨污分流及污水截流改造工程新建雨水管4.72km；污水管4.5km，共9.22km。</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inorEastAsia" w:hAnsiTheme="minorEastAsia" w:eastAsiaTheme="minorEastAsia" w:cstheme="minorEastAsia"/>
          <w:b/>
          <w:bCs w:val="0"/>
          <w:kern w:val="2"/>
          <w:sz w:val="28"/>
          <w:szCs w:val="28"/>
          <w:lang w:val="en-US" w:eastAsia="zh-CN"/>
        </w:rPr>
      </w:pPr>
      <w:r>
        <w:rPr>
          <w:rFonts w:hint="eastAsia" w:asciiTheme="majorEastAsia" w:hAnsiTheme="majorEastAsia" w:eastAsiaTheme="majorEastAsia" w:cstheme="majorEastAsia"/>
          <w:sz w:val="21"/>
          <w:szCs w:val="21"/>
        </w:rPr>
        <w:t>主要包括嘉利星城A、B区、南谭苑小区、安居小区、淠河新区安置小区、建设小区、美丽苑小区共7个小区雨污分流及污水截流改造工程。</w:t>
      </w:r>
    </w:p>
    <w:p>
      <w:pPr>
        <w:pStyle w:val="69"/>
        <w:spacing w:line="360" w:lineRule="auto"/>
        <w:rPr>
          <w:rFonts w:hint="eastAsia" w:asciiTheme="minorEastAsia" w:hAnsiTheme="minorEastAsia" w:eastAsiaTheme="minorEastAsia" w:cstheme="minorEastAsia"/>
          <w:b/>
          <w:bCs w:val="0"/>
          <w:color w:val="auto"/>
          <w:kern w:val="2"/>
          <w:sz w:val="28"/>
          <w:szCs w:val="28"/>
          <w:lang w:val="en-US" w:eastAsia="zh-CN"/>
        </w:rPr>
      </w:pPr>
      <w:r>
        <w:rPr>
          <w:rFonts w:hint="eastAsia" w:asciiTheme="minorEastAsia" w:hAnsiTheme="minorEastAsia" w:eastAsiaTheme="minorEastAsia" w:cstheme="minorEastAsia"/>
          <w:b/>
          <w:bCs w:val="0"/>
          <w:color w:val="auto"/>
          <w:kern w:val="2"/>
          <w:sz w:val="28"/>
          <w:szCs w:val="28"/>
          <w:lang w:val="en-US" w:eastAsia="zh-CN"/>
        </w:rPr>
        <w:t>二、社会稳定评估工作程序：</w:t>
      </w:r>
    </w:p>
    <w:p>
      <w:pPr>
        <w:pStyle w:val="69"/>
        <w:spacing w:line="360" w:lineRule="auto"/>
        <w:ind w:left="0" w:leftChars="0" w:firstLine="440" w:firstLineChars="200"/>
        <w:rPr>
          <w:rFonts w:hint="eastAsia" w:asciiTheme="minorEastAsia" w:hAnsiTheme="minorEastAsia" w:eastAsiaTheme="minorEastAsia" w:cstheme="minorEastAsia"/>
          <w:color w:val="auto"/>
          <w:kern w:val="0"/>
          <w:sz w:val="22"/>
          <w:szCs w:val="22"/>
          <w:lang w:val="en-US" w:eastAsia="zh-CN" w:bidi="ar-SA"/>
        </w:rPr>
      </w:pPr>
      <w:r>
        <w:rPr>
          <w:rFonts w:hint="eastAsia" w:asciiTheme="minorEastAsia" w:hAnsiTheme="minorEastAsia" w:eastAsiaTheme="minorEastAsia" w:cstheme="minorEastAsia"/>
          <w:color w:val="auto"/>
          <w:kern w:val="0"/>
          <w:sz w:val="22"/>
          <w:szCs w:val="22"/>
          <w:lang w:val="en-US" w:eastAsia="zh-CN" w:bidi="ar-SA"/>
        </w:rPr>
        <w:t>（1）初步分析审查风险评估报告，包括审查风险因素识别、风险估计、风险评判、预防、化解措施以及风险等级。</w:t>
      </w:r>
    </w:p>
    <w:p>
      <w:pPr>
        <w:pStyle w:val="69"/>
        <w:spacing w:line="360" w:lineRule="auto"/>
        <w:ind w:left="0" w:leftChars="0" w:firstLine="440" w:firstLineChars="200"/>
        <w:rPr>
          <w:rFonts w:hint="eastAsia" w:asciiTheme="minorEastAsia" w:hAnsiTheme="minorEastAsia" w:eastAsiaTheme="minorEastAsia" w:cstheme="minorEastAsia"/>
          <w:color w:val="auto"/>
          <w:kern w:val="0"/>
          <w:sz w:val="22"/>
          <w:szCs w:val="22"/>
          <w:lang w:val="en-US" w:eastAsia="zh-CN" w:bidi="ar-SA"/>
        </w:rPr>
      </w:pPr>
      <w:r>
        <w:rPr>
          <w:rFonts w:hint="eastAsia" w:asciiTheme="minorEastAsia" w:hAnsiTheme="minorEastAsia" w:eastAsiaTheme="minorEastAsia" w:cstheme="minorEastAsia"/>
          <w:color w:val="auto"/>
          <w:kern w:val="0"/>
          <w:sz w:val="22"/>
          <w:szCs w:val="22"/>
          <w:lang w:val="en-US" w:eastAsia="zh-CN" w:bidi="ar-SA"/>
        </w:rPr>
        <w:t>（2）开展针对性的调查、核实工作，将获取的信息与风险评估所反映的信息进行比较评估，形成能够客观地反映实际情况的数据资料。</w:t>
      </w:r>
    </w:p>
    <w:p>
      <w:pPr>
        <w:pStyle w:val="69"/>
        <w:spacing w:line="360" w:lineRule="auto"/>
        <w:ind w:left="0" w:leftChars="0" w:firstLine="440" w:firstLineChars="200"/>
        <w:rPr>
          <w:rFonts w:hint="eastAsia" w:asciiTheme="minorEastAsia" w:hAnsiTheme="minorEastAsia" w:eastAsiaTheme="minorEastAsia" w:cstheme="minorEastAsia"/>
          <w:color w:val="auto"/>
          <w:kern w:val="0"/>
          <w:sz w:val="22"/>
          <w:szCs w:val="22"/>
          <w:lang w:val="en-US" w:eastAsia="zh-CN" w:bidi="ar-SA"/>
        </w:rPr>
      </w:pPr>
      <w:r>
        <w:rPr>
          <w:rFonts w:hint="eastAsia" w:asciiTheme="minorEastAsia" w:hAnsiTheme="minorEastAsia" w:eastAsiaTheme="minorEastAsia" w:cstheme="minorEastAsia"/>
          <w:color w:val="auto"/>
          <w:kern w:val="0"/>
          <w:sz w:val="22"/>
          <w:szCs w:val="22"/>
          <w:lang w:val="en-US" w:eastAsia="zh-CN" w:bidi="ar-SA"/>
        </w:rPr>
        <w:t>（3）评估组人员，重点对评估报告反映的评估内容和评估程序是否完备，征求意见是否广泛，风险识别是否全面，反映意见是否全面、真实，评估方法是否科学，风险预防、化解措施和应急处置预案是否可行、有效，风险等级的评估结论是否正确。</w:t>
      </w:r>
    </w:p>
    <w:p>
      <w:pPr>
        <w:pStyle w:val="69"/>
        <w:spacing w:line="360" w:lineRule="auto"/>
        <w:rPr>
          <w:rFonts w:hint="eastAsia" w:asciiTheme="minorEastAsia" w:hAnsiTheme="minorEastAsia" w:eastAsiaTheme="minorEastAsia" w:cstheme="minorEastAsia"/>
          <w:b/>
          <w:bCs w:val="0"/>
          <w:color w:val="auto"/>
          <w:kern w:val="2"/>
          <w:sz w:val="28"/>
          <w:szCs w:val="28"/>
          <w:lang w:val="en-US" w:eastAsia="zh-CN"/>
        </w:rPr>
      </w:pPr>
      <w:r>
        <w:rPr>
          <w:rFonts w:hint="eastAsia" w:asciiTheme="minorEastAsia" w:hAnsiTheme="minorEastAsia" w:eastAsiaTheme="minorEastAsia" w:cstheme="minorEastAsia"/>
          <w:color w:val="auto"/>
          <w:kern w:val="0"/>
          <w:sz w:val="22"/>
          <w:szCs w:val="22"/>
          <w:lang w:val="en-US" w:eastAsia="zh-CN" w:bidi="ar-SA"/>
        </w:rPr>
        <w:t>（4）综合分析论证和评估、编制评估报告。根据调查分析、评估组形成的意见对项目风险进行分析和论证，对评估报告作出客观、公正的评估，编制评估报告。</w:t>
      </w:r>
    </w:p>
    <w:p>
      <w:pPr>
        <w:pStyle w:val="69"/>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bookmarkStart w:id="52" w:name="_Toc6801_WPSOffice_Level1"/>
    </w:p>
    <w:p>
      <w:pPr>
        <w:ind w:firstLine="440"/>
        <w:rPr>
          <w:rFonts w:hint="eastAsia" w:asciiTheme="minorEastAsia" w:hAnsiTheme="minorEastAsia" w:eastAsiaTheme="minorEastAsia" w:cstheme="minorEastAsia"/>
        </w:rPr>
      </w:pPr>
    </w:p>
    <w:p>
      <w:pPr>
        <w:ind w:firstLine="440"/>
        <w:rPr>
          <w:rFonts w:hint="eastAsia" w:asciiTheme="minorEastAsia" w:hAnsiTheme="minorEastAsia" w:eastAsiaTheme="minorEastAsia" w:cstheme="minorEastAsia"/>
        </w:rPr>
      </w:pPr>
    </w:p>
    <w:p>
      <w:pPr>
        <w:ind w:firstLine="440"/>
        <w:rPr>
          <w:rFonts w:hint="eastAsia" w:asciiTheme="minorEastAsia" w:hAnsiTheme="minorEastAsia" w:eastAsiaTheme="minorEastAsia" w:cstheme="minorEastAsia"/>
        </w:rPr>
      </w:pPr>
    </w:p>
    <w:p>
      <w:pPr>
        <w:pStyle w:val="15"/>
        <w:ind w:firstLine="420"/>
        <w:rPr>
          <w:rFonts w:hint="eastAsia" w:asciiTheme="minorEastAsia" w:hAnsiTheme="minorEastAsia" w:eastAsiaTheme="minorEastAsia" w:cstheme="minorEastAsia"/>
          <w:sz w:val="21"/>
        </w:rPr>
      </w:pPr>
    </w:p>
    <w:p>
      <w:pPr>
        <w:pStyle w:val="15"/>
        <w:ind w:firstLine="420"/>
        <w:rPr>
          <w:rFonts w:hint="eastAsia" w:asciiTheme="minorEastAsia" w:hAnsiTheme="minorEastAsia" w:eastAsiaTheme="minorEastAsia" w:cstheme="minorEastAsia"/>
          <w:sz w:val="21"/>
        </w:rPr>
      </w:pPr>
    </w:p>
    <w:p>
      <w:pPr>
        <w:pStyle w:val="15"/>
        <w:ind w:firstLine="420"/>
        <w:rPr>
          <w:rFonts w:hint="eastAsia" w:asciiTheme="minorEastAsia" w:hAnsiTheme="minorEastAsia" w:eastAsiaTheme="minorEastAsia" w:cstheme="minorEastAsia"/>
          <w:sz w:val="21"/>
        </w:rPr>
      </w:pPr>
    </w:p>
    <w:p>
      <w:pPr>
        <w:pStyle w:val="15"/>
        <w:ind w:firstLine="420"/>
        <w:rPr>
          <w:rFonts w:hint="eastAsia" w:asciiTheme="minorEastAsia" w:hAnsiTheme="minorEastAsia" w:eastAsiaTheme="minorEastAsia" w:cstheme="minorEastAsia"/>
          <w:sz w:val="21"/>
        </w:rPr>
      </w:pPr>
    </w:p>
    <w:p>
      <w:pPr>
        <w:pStyle w:val="15"/>
        <w:ind w:firstLine="420"/>
        <w:jc w:val="center"/>
        <w:rPr>
          <w:rFonts w:hint="eastAsia" w:asciiTheme="minorEastAsia" w:hAnsiTheme="minorEastAsia" w:eastAsiaTheme="minorEastAsia" w:cstheme="minorEastAsia"/>
          <w:sz w:val="21"/>
        </w:rPr>
      </w:pPr>
    </w:p>
    <w:p>
      <w:pPr>
        <w:pStyle w:val="5"/>
        <w:rPr>
          <w:rFonts w:hint="eastAsia" w:asciiTheme="minorEastAsia" w:hAnsiTheme="minorEastAsia" w:eastAsiaTheme="minorEastAsia" w:cstheme="minorEastAsia"/>
          <w:b/>
          <w:bCs w:val="0"/>
          <w:sz w:val="32"/>
          <w:szCs w:val="32"/>
        </w:rPr>
      </w:pPr>
      <w:bookmarkStart w:id="53" w:name="_Toc18573041"/>
      <w:r>
        <w:rPr>
          <w:rFonts w:hint="eastAsia" w:asciiTheme="minorEastAsia" w:hAnsiTheme="minorEastAsia" w:eastAsiaTheme="minorEastAsia" w:cstheme="minorEastAsia"/>
          <w:b/>
          <w:bCs w:val="0"/>
          <w:sz w:val="32"/>
          <w:szCs w:val="32"/>
        </w:rPr>
        <w:t xml:space="preserve">第五章  </w:t>
      </w:r>
      <w:bookmarkEnd w:id="44"/>
      <w:bookmarkEnd w:id="45"/>
      <w:bookmarkEnd w:id="46"/>
      <w:bookmarkEnd w:id="47"/>
      <w:r>
        <w:rPr>
          <w:rFonts w:hint="eastAsia" w:asciiTheme="minorEastAsia" w:hAnsiTheme="minorEastAsia" w:eastAsiaTheme="minorEastAsia" w:cstheme="minorEastAsia"/>
          <w:b/>
          <w:bCs w:val="0"/>
          <w:sz w:val="32"/>
          <w:szCs w:val="32"/>
        </w:rPr>
        <w:t>询比文件格式</w:t>
      </w:r>
      <w:bookmarkEnd w:id="48"/>
      <w:bookmarkEnd w:id="49"/>
      <w:bookmarkEnd w:id="50"/>
      <w:bookmarkEnd w:id="51"/>
      <w:bookmarkEnd w:id="52"/>
      <w:bookmarkEnd w:id="53"/>
    </w:p>
    <w:p>
      <w:pPr>
        <w:pStyle w:val="15"/>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p>
    <w:p>
      <w:pPr>
        <w:pStyle w:val="15"/>
        <w:ind w:firstLine="440"/>
        <w:rPr>
          <w:rFonts w:hint="eastAsia" w:asciiTheme="minorEastAsia" w:hAnsiTheme="minorEastAsia" w:eastAsiaTheme="minorEastAsia" w:cstheme="minorEastAsia"/>
        </w:rPr>
      </w:pPr>
    </w:p>
    <w:p>
      <w:pPr>
        <w:spacing w:line="360" w:lineRule="auto"/>
        <w:ind w:firstLine="0" w:firstLineChars="0"/>
        <w:jc w:val="center"/>
        <w:rPr>
          <w:rFonts w:hint="eastAsia" w:asciiTheme="minorEastAsia" w:hAnsiTheme="minorEastAsia" w:eastAsiaTheme="minorEastAsia" w:cstheme="minorEastAsia"/>
          <w:b/>
          <w:bCs w:val="0"/>
          <w:sz w:val="36"/>
          <w:szCs w:val="36"/>
          <w:lang w:eastAsia="zh-CN"/>
        </w:rPr>
      </w:pPr>
      <w:bookmarkStart w:id="54" w:name="_Toc3268"/>
      <w:r>
        <w:rPr>
          <w:rFonts w:hint="eastAsia" w:asciiTheme="minorEastAsia" w:hAnsiTheme="minorEastAsia" w:eastAsiaTheme="minorEastAsia" w:cstheme="minorEastAsia"/>
          <w:b/>
          <w:bCs w:val="0"/>
          <w:sz w:val="36"/>
          <w:szCs w:val="36"/>
          <w:lang w:eastAsia="zh-CN"/>
        </w:rPr>
        <w:t>霍山县兴水生态工程供水工程及排水工程</w:t>
      </w:r>
    </w:p>
    <w:p>
      <w:pPr>
        <w:spacing w:line="360" w:lineRule="auto"/>
        <w:ind w:firstLine="0" w:firstLineChars="0"/>
        <w:jc w:val="center"/>
        <w:rPr>
          <w:rFonts w:hint="eastAsia" w:asciiTheme="minorEastAsia" w:hAnsiTheme="minorEastAsia" w:eastAsiaTheme="minorEastAsia" w:cstheme="minorEastAsia"/>
          <w:bCs/>
          <w:sz w:val="72"/>
          <w:szCs w:val="72"/>
        </w:rPr>
      </w:pPr>
    </w:p>
    <w:p>
      <w:pPr>
        <w:pStyle w:val="2"/>
        <w:ind w:left="440" w:firstLine="560"/>
        <w:rPr>
          <w:rFonts w:hint="eastAsia" w:asciiTheme="minorEastAsia" w:hAnsiTheme="minorEastAsia" w:eastAsiaTheme="minorEastAsia" w:cstheme="minorEastAsia"/>
        </w:rPr>
      </w:pPr>
    </w:p>
    <w:p>
      <w:pPr>
        <w:pStyle w:val="15"/>
        <w:ind w:firstLine="440"/>
        <w:rPr>
          <w:rFonts w:hint="eastAsia" w:asciiTheme="minorEastAsia" w:hAnsiTheme="minorEastAsia" w:eastAsiaTheme="minorEastAsia" w:cstheme="minorEastAsia"/>
        </w:rPr>
      </w:pPr>
    </w:p>
    <w:p>
      <w:pPr>
        <w:spacing w:line="360" w:lineRule="auto"/>
        <w:ind w:firstLine="0" w:firstLineChars="0"/>
        <w:jc w:val="center"/>
        <w:rPr>
          <w:rFonts w:hint="eastAsia" w:asciiTheme="minorEastAsia" w:hAnsiTheme="minorEastAsia" w:eastAsiaTheme="minorEastAsia" w:cstheme="minorEastAsia"/>
          <w:b/>
          <w:bCs w:val="0"/>
          <w:sz w:val="72"/>
          <w:szCs w:val="72"/>
        </w:rPr>
      </w:pPr>
      <w:r>
        <w:rPr>
          <w:rFonts w:hint="eastAsia" w:asciiTheme="minorEastAsia" w:hAnsiTheme="minorEastAsia" w:eastAsiaTheme="minorEastAsia" w:cstheme="minorEastAsia"/>
          <w:b/>
          <w:bCs w:val="0"/>
          <w:sz w:val="72"/>
          <w:szCs w:val="72"/>
        </w:rPr>
        <w:t>询</w:t>
      </w:r>
    </w:p>
    <w:p>
      <w:pPr>
        <w:spacing w:line="360" w:lineRule="auto"/>
        <w:ind w:firstLine="0" w:firstLineChars="0"/>
        <w:jc w:val="center"/>
        <w:rPr>
          <w:rFonts w:hint="eastAsia" w:asciiTheme="minorEastAsia" w:hAnsiTheme="minorEastAsia" w:eastAsiaTheme="minorEastAsia" w:cstheme="minorEastAsia"/>
          <w:b/>
          <w:bCs w:val="0"/>
          <w:sz w:val="72"/>
          <w:szCs w:val="72"/>
        </w:rPr>
      </w:pPr>
      <w:r>
        <w:rPr>
          <w:rFonts w:hint="eastAsia" w:asciiTheme="minorEastAsia" w:hAnsiTheme="minorEastAsia" w:eastAsiaTheme="minorEastAsia" w:cstheme="minorEastAsia"/>
          <w:b/>
          <w:bCs w:val="0"/>
          <w:sz w:val="72"/>
          <w:szCs w:val="72"/>
        </w:rPr>
        <w:t>比</w:t>
      </w:r>
    </w:p>
    <w:p>
      <w:pPr>
        <w:spacing w:line="360" w:lineRule="auto"/>
        <w:ind w:firstLine="0" w:firstLineChars="0"/>
        <w:jc w:val="center"/>
        <w:rPr>
          <w:rFonts w:hint="eastAsia" w:asciiTheme="minorEastAsia" w:hAnsiTheme="minorEastAsia" w:eastAsiaTheme="minorEastAsia" w:cstheme="minorEastAsia"/>
          <w:b/>
          <w:bCs w:val="0"/>
          <w:sz w:val="72"/>
          <w:szCs w:val="72"/>
        </w:rPr>
      </w:pPr>
      <w:bookmarkStart w:id="55" w:name="_Toc29922_WPSOffice_Level1"/>
      <w:bookmarkStart w:id="56" w:name="_Toc23846_WPSOffice_Level1"/>
      <w:bookmarkStart w:id="57" w:name="_Toc15242_WPSOffice_Level1"/>
      <w:bookmarkStart w:id="58" w:name="_Toc530_WPSOffice_Level1"/>
      <w:bookmarkStart w:id="59" w:name="_Toc13930_WPSOffice_Level1"/>
      <w:r>
        <w:rPr>
          <w:rFonts w:hint="eastAsia" w:asciiTheme="minorEastAsia" w:hAnsiTheme="minorEastAsia" w:eastAsiaTheme="minorEastAsia" w:cstheme="minorEastAsia"/>
          <w:b/>
          <w:bCs w:val="0"/>
          <w:sz w:val="72"/>
          <w:szCs w:val="72"/>
        </w:rPr>
        <w:t>文</w:t>
      </w:r>
      <w:bookmarkEnd w:id="55"/>
      <w:bookmarkEnd w:id="56"/>
      <w:bookmarkEnd w:id="57"/>
      <w:bookmarkEnd w:id="58"/>
      <w:bookmarkEnd w:id="59"/>
    </w:p>
    <w:p>
      <w:pPr>
        <w:spacing w:line="360" w:lineRule="auto"/>
        <w:ind w:firstLine="0" w:firstLineChars="0"/>
        <w:jc w:val="center"/>
        <w:rPr>
          <w:rFonts w:hint="eastAsia" w:asciiTheme="minorEastAsia" w:hAnsiTheme="minorEastAsia" w:eastAsiaTheme="minorEastAsia" w:cstheme="minorEastAsia"/>
          <w:b/>
          <w:bCs w:val="0"/>
          <w:sz w:val="72"/>
          <w:szCs w:val="72"/>
        </w:rPr>
      </w:pPr>
      <w:bookmarkStart w:id="60" w:name="_Toc15713_WPSOffice_Level1"/>
      <w:bookmarkStart w:id="61" w:name="_Toc17046_WPSOffice_Level1"/>
      <w:bookmarkStart w:id="62" w:name="_Toc26953_WPSOffice_Level1"/>
      <w:bookmarkStart w:id="63" w:name="_Toc12776_WPSOffice_Level1"/>
      <w:bookmarkStart w:id="64" w:name="_Toc12729_WPSOffice_Level1"/>
      <w:r>
        <w:rPr>
          <w:rFonts w:hint="eastAsia" w:asciiTheme="minorEastAsia" w:hAnsiTheme="minorEastAsia" w:eastAsiaTheme="minorEastAsia" w:cstheme="minorEastAsia"/>
          <w:b/>
          <w:bCs w:val="0"/>
          <w:sz w:val="72"/>
          <w:szCs w:val="72"/>
        </w:rPr>
        <w:t>件</w:t>
      </w:r>
      <w:bookmarkEnd w:id="54"/>
      <w:bookmarkEnd w:id="60"/>
      <w:bookmarkEnd w:id="61"/>
      <w:bookmarkEnd w:id="62"/>
      <w:bookmarkEnd w:id="63"/>
      <w:bookmarkEnd w:id="64"/>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480"/>
        <w:rPr>
          <w:rFonts w:hint="eastAsia" w:asciiTheme="minorEastAsia" w:hAnsiTheme="minorEastAsia" w:eastAsiaTheme="minorEastAsia" w:cstheme="minorEastAsia"/>
          <w:sz w:val="24"/>
          <w:szCs w:val="24"/>
        </w:rPr>
      </w:pPr>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0" w:firstLineChars="0"/>
        <w:jc w:val="center"/>
        <w:rPr>
          <w:rFonts w:hint="eastAsia" w:asciiTheme="minorEastAsia" w:hAnsiTheme="minorEastAsia" w:eastAsiaTheme="minorEastAsia" w:cstheme="minorEastAsia"/>
          <w:sz w:val="28"/>
          <w:szCs w:val="28"/>
        </w:rPr>
      </w:pPr>
      <w:bookmarkStart w:id="65" w:name="_Toc15954"/>
      <w:bookmarkStart w:id="66" w:name="_Toc7405_WPSOffice_Level1"/>
      <w:bookmarkStart w:id="67" w:name="_Toc23398_WPSOffice_Level1"/>
      <w:bookmarkStart w:id="68" w:name="_Toc11166_WPSOffice_Level1"/>
      <w:bookmarkStart w:id="69" w:name="_Toc3751_WPSOffice_Level1"/>
      <w:r>
        <w:rPr>
          <w:rFonts w:hint="eastAsia" w:asciiTheme="minorEastAsia" w:hAnsiTheme="minorEastAsia" w:eastAsiaTheme="minorEastAsia" w:cstheme="minorEastAsia"/>
          <w:sz w:val="28"/>
          <w:szCs w:val="28"/>
        </w:rPr>
        <w:t>服务商：</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（盖单位章</w:t>
      </w:r>
      <w:bookmarkEnd w:id="65"/>
      <w:r>
        <w:rPr>
          <w:rFonts w:hint="eastAsia" w:asciiTheme="minorEastAsia" w:hAnsiTheme="minorEastAsia" w:eastAsiaTheme="minorEastAsia" w:cstheme="minorEastAsia"/>
          <w:sz w:val="28"/>
          <w:szCs w:val="28"/>
        </w:rPr>
        <w:t>）</w:t>
      </w:r>
      <w:bookmarkEnd w:id="66"/>
      <w:bookmarkEnd w:id="67"/>
      <w:bookmarkEnd w:id="68"/>
      <w:bookmarkEnd w:id="69"/>
    </w:p>
    <w:p>
      <w:pPr>
        <w:spacing w:line="400" w:lineRule="exact"/>
        <w:ind w:firstLine="480"/>
        <w:jc w:val="center"/>
        <w:rPr>
          <w:rFonts w:hint="eastAsia" w:asciiTheme="minorEastAsia" w:hAnsiTheme="minorEastAsia" w:eastAsiaTheme="minorEastAsia" w:cstheme="minorEastAsia"/>
          <w:sz w:val="28"/>
          <w:szCs w:val="28"/>
        </w:rPr>
      </w:pPr>
    </w:p>
    <w:p>
      <w:pPr>
        <w:spacing w:line="400" w:lineRule="exact"/>
        <w:ind w:firstLine="0" w:firstLineChars="0"/>
        <w:jc w:val="center"/>
        <w:rPr>
          <w:rFonts w:hint="eastAsia" w:asciiTheme="minorEastAsia" w:hAnsiTheme="minorEastAsia" w:eastAsiaTheme="minorEastAsia" w:cstheme="minorEastAsia"/>
          <w:sz w:val="28"/>
          <w:szCs w:val="28"/>
        </w:rPr>
      </w:pPr>
      <w:bookmarkStart w:id="70" w:name="_Toc2461"/>
      <w:bookmarkStart w:id="71" w:name="_Toc25652_WPSOffice_Level1"/>
      <w:bookmarkStart w:id="72" w:name="_Toc24098_WPSOffice_Level1"/>
      <w:bookmarkStart w:id="73" w:name="_Toc8616_WPSOffice_Level1"/>
      <w:bookmarkStart w:id="74" w:name="_Toc28468_WPSOffice_Level1"/>
      <w:r>
        <w:rPr>
          <w:rFonts w:hint="eastAsia" w:asciiTheme="minorEastAsia" w:hAnsiTheme="minorEastAsia" w:eastAsiaTheme="minorEastAsia" w:cstheme="minorEastAsia"/>
          <w:sz w:val="28"/>
          <w:szCs w:val="28"/>
        </w:rPr>
        <w:t>年        月         日</w:t>
      </w:r>
      <w:bookmarkEnd w:id="70"/>
      <w:bookmarkEnd w:id="71"/>
      <w:bookmarkEnd w:id="72"/>
      <w:bookmarkEnd w:id="73"/>
      <w:bookmarkEnd w:id="74"/>
      <w:bookmarkStart w:id="75" w:name="_Toc21093"/>
    </w:p>
    <w:p>
      <w:pPr>
        <w:spacing w:line="400" w:lineRule="exact"/>
        <w:ind w:firstLine="562"/>
        <w:jc w:val="center"/>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sz w:val="28"/>
          <w:szCs w:val="28"/>
        </w:rPr>
        <w:br w:type="page"/>
      </w:r>
      <w:bookmarkEnd w:id="75"/>
      <w:bookmarkStart w:id="76" w:name="_Toc10881"/>
      <w:bookmarkStart w:id="77" w:name="_Toc25578"/>
      <w:bookmarkStart w:id="78" w:name="_Toc866"/>
      <w:bookmarkStart w:id="79" w:name="_Toc15650"/>
      <w:bookmarkStart w:id="80" w:name="_Toc20771"/>
      <w:bookmarkStart w:id="81" w:name="_Toc4745"/>
      <w:bookmarkStart w:id="82" w:name="_Toc7786"/>
      <w:bookmarkStart w:id="83" w:name="_Toc3061"/>
      <w:bookmarkStart w:id="84" w:name="_Toc19271"/>
      <w:r>
        <w:rPr>
          <w:rFonts w:hint="eastAsia" w:asciiTheme="minorEastAsia" w:hAnsiTheme="minorEastAsia" w:eastAsiaTheme="minorEastAsia" w:cstheme="minorEastAsia"/>
          <w:b/>
          <w:bCs/>
          <w:sz w:val="32"/>
          <w:szCs w:val="28"/>
        </w:rPr>
        <w:t>目  录</w:t>
      </w:r>
      <w:bookmarkEnd w:id="76"/>
      <w:bookmarkEnd w:id="77"/>
      <w:bookmarkEnd w:id="78"/>
      <w:bookmarkEnd w:id="79"/>
      <w:bookmarkEnd w:id="80"/>
      <w:bookmarkEnd w:id="81"/>
      <w:bookmarkEnd w:id="82"/>
      <w:bookmarkEnd w:id="83"/>
      <w:bookmarkEnd w:id="84"/>
    </w:p>
    <w:p>
      <w:pPr>
        <w:spacing w:line="400" w:lineRule="exact"/>
        <w:ind w:firstLine="440"/>
        <w:rPr>
          <w:rFonts w:hint="eastAsia" w:asciiTheme="minorEastAsia" w:hAnsiTheme="minorEastAsia" w:eastAsiaTheme="minorEastAsia" w:cstheme="minorEastAsia"/>
        </w:rPr>
      </w:pPr>
    </w:p>
    <w:p>
      <w:pPr>
        <w:pStyle w:val="15"/>
        <w:numPr>
          <w:ilvl w:val="0"/>
          <w:numId w:val="2"/>
        </w:numPr>
        <w:ind w:firstLine="440"/>
        <w:rPr>
          <w:rFonts w:hint="eastAsia" w:asciiTheme="minorEastAsia" w:hAnsiTheme="minorEastAsia" w:eastAsiaTheme="minorEastAsia" w:cstheme="minorEastAsia"/>
          <w:sz w:val="28"/>
          <w:szCs w:val="28"/>
        </w:rPr>
      </w:pPr>
      <w:bookmarkStart w:id="85" w:name="_Toc13528_WPSOffice_Level1"/>
      <w:bookmarkStart w:id="86" w:name="_Toc29334_WPSOffice_Level1"/>
      <w:bookmarkStart w:id="87" w:name="_Toc2336_WPSOffice_Level1"/>
      <w:bookmarkStart w:id="88" w:name="_Toc23936_WPSOffice_Level1"/>
      <w:r>
        <w:rPr>
          <w:rFonts w:hint="eastAsia" w:asciiTheme="minorEastAsia" w:hAnsiTheme="minorEastAsia" w:eastAsiaTheme="minorEastAsia" w:cstheme="minorEastAsia"/>
          <w:sz w:val="28"/>
          <w:szCs w:val="28"/>
        </w:rPr>
        <w:t>报价函</w:t>
      </w:r>
      <w:bookmarkEnd w:id="85"/>
      <w:bookmarkEnd w:id="86"/>
      <w:bookmarkEnd w:id="87"/>
      <w:r>
        <w:rPr>
          <w:rFonts w:hint="eastAsia" w:asciiTheme="minorEastAsia" w:hAnsiTheme="minorEastAsia" w:eastAsiaTheme="minorEastAsia" w:cstheme="minorEastAsia"/>
          <w:sz w:val="28"/>
          <w:szCs w:val="28"/>
        </w:rPr>
        <w:t>及报价函附录</w:t>
      </w:r>
      <w:bookmarkEnd w:id="88"/>
    </w:p>
    <w:p>
      <w:pPr>
        <w:pStyle w:val="15"/>
        <w:numPr>
          <w:ilvl w:val="0"/>
          <w:numId w:val="2"/>
        </w:numPr>
        <w:ind w:firstLine="440"/>
        <w:rPr>
          <w:rFonts w:hint="eastAsia" w:asciiTheme="minorEastAsia" w:hAnsiTheme="minorEastAsia" w:eastAsiaTheme="minorEastAsia" w:cstheme="minorEastAsia"/>
          <w:sz w:val="28"/>
          <w:szCs w:val="28"/>
        </w:rPr>
      </w:pPr>
      <w:bookmarkStart w:id="89" w:name="_Toc14694_WPSOffice_Level1"/>
      <w:bookmarkStart w:id="90" w:name="_Toc18088_WPSOffice_Level1"/>
      <w:bookmarkStart w:id="91" w:name="_Toc7213_WPSOffice_Level1"/>
      <w:bookmarkStart w:id="92" w:name="_Toc16389_WPSOffice_Level1"/>
      <w:r>
        <w:rPr>
          <w:rFonts w:hint="eastAsia" w:asciiTheme="minorEastAsia" w:hAnsiTheme="minorEastAsia" w:eastAsiaTheme="minorEastAsia" w:cstheme="minorEastAsia"/>
          <w:sz w:val="28"/>
          <w:szCs w:val="28"/>
        </w:rPr>
        <w:t>授权委托书或法定代表人身份证明</w:t>
      </w:r>
      <w:bookmarkEnd w:id="89"/>
      <w:bookmarkEnd w:id="90"/>
      <w:bookmarkEnd w:id="91"/>
      <w:bookmarkEnd w:id="92"/>
    </w:p>
    <w:p>
      <w:pPr>
        <w:pStyle w:val="15"/>
        <w:numPr>
          <w:ilvl w:val="0"/>
          <w:numId w:val="2"/>
        </w:numPr>
        <w:ind w:firstLine="440"/>
        <w:rPr>
          <w:rFonts w:hint="eastAsia" w:asciiTheme="minorEastAsia" w:hAnsiTheme="minorEastAsia" w:eastAsiaTheme="minorEastAsia" w:cstheme="minorEastAsia"/>
          <w:sz w:val="28"/>
          <w:szCs w:val="28"/>
        </w:rPr>
      </w:pPr>
      <w:bookmarkStart w:id="93" w:name="_Toc2001_WPSOffice_Level1"/>
      <w:bookmarkStart w:id="94" w:name="_Toc13643_WPSOffice_Level1"/>
      <w:bookmarkStart w:id="95" w:name="_Toc24925_WPSOffice_Level1"/>
      <w:bookmarkStart w:id="96" w:name="_Toc2228_WPSOffice_Level1"/>
      <w:r>
        <w:rPr>
          <w:rFonts w:hint="eastAsia" w:asciiTheme="minorEastAsia" w:hAnsiTheme="minorEastAsia" w:eastAsiaTheme="minorEastAsia" w:cstheme="minorEastAsia"/>
          <w:sz w:val="28"/>
          <w:szCs w:val="28"/>
        </w:rPr>
        <w:t>资格审查资料</w:t>
      </w:r>
      <w:bookmarkEnd w:id="93"/>
      <w:bookmarkEnd w:id="94"/>
      <w:bookmarkEnd w:id="95"/>
      <w:bookmarkEnd w:id="96"/>
    </w:p>
    <w:p>
      <w:pPr>
        <w:pStyle w:val="15"/>
        <w:numPr>
          <w:ilvl w:val="0"/>
          <w:numId w:val="2"/>
        </w:numPr>
        <w:ind w:firstLine="440"/>
        <w:rPr>
          <w:rFonts w:hint="eastAsia" w:asciiTheme="minorEastAsia" w:hAnsiTheme="minorEastAsia" w:eastAsiaTheme="minorEastAsia" w:cstheme="minorEastAsia"/>
          <w:sz w:val="28"/>
          <w:szCs w:val="28"/>
        </w:rPr>
      </w:pPr>
      <w:bookmarkStart w:id="97" w:name="_Toc4638_WPSOffice_Level1"/>
      <w:bookmarkStart w:id="98" w:name="_Toc13332_WPSOffice_Level1"/>
      <w:bookmarkStart w:id="99" w:name="_Toc29220_WPSOffice_Level1"/>
      <w:bookmarkStart w:id="100" w:name="_Toc7711_WPSOffice_Level1"/>
      <w:r>
        <w:rPr>
          <w:rFonts w:hint="eastAsia" w:asciiTheme="minorEastAsia" w:hAnsiTheme="minorEastAsia" w:eastAsiaTheme="minorEastAsia" w:cstheme="minorEastAsia"/>
          <w:sz w:val="28"/>
          <w:szCs w:val="28"/>
        </w:rPr>
        <w:t>询比采购服务方案</w:t>
      </w:r>
    </w:p>
    <w:p>
      <w:pPr>
        <w:pStyle w:val="15"/>
        <w:numPr>
          <w:ilvl w:val="0"/>
          <w:numId w:val="2"/>
        </w:numPr>
        <w:ind w:firstLine="44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已标价报价清单</w:t>
      </w:r>
      <w:bookmarkEnd w:id="97"/>
      <w:bookmarkEnd w:id="98"/>
      <w:bookmarkEnd w:id="99"/>
      <w:bookmarkEnd w:id="100"/>
    </w:p>
    <w:p>
      <w:pPr>
        <w:pStyle w:val="15"/>
        <w:numPr>
          <w:ilvl w:val="0"/>
          <w:numId w:val="2"/>
        </w:numPr>
        <w:ind w:firstLine="440"/>
        <w:rPr>
          <w:rFonts w:hint="eastAsia" w:asciiTheme="minorEastAsia" w:hAnsiTheme="minorEastAsia" w:eastAsiaTheme="minorEastAsia" w:cstheme="minorEastAsia"/>
          <w:sz w:val="28"/>
          <w:szCs w:val="28"/>
        </w:rPr>
      </w:pPr>
      <w:bookmarkStart w:id="101" w:name="_Toc20426_WPSOffice_Level1"/>
      <w:bookmarkStart w:id="102" w:name="_Toc5743_WPSOffice_Level1"/>
      <w:bookmarkStart w:id="103" w:name="_Toc17067_WPSOffice_Level1"/>
      <w:bookmarkStart w:id="104" w:name="_Toc6537_WPSOffice_Level1"/>
      <w:r>
        <w:rPr>
          <w:rFonts w:hint="eastAsia" w:asciiTheme="minorEastAsia" w:hAnsiTheme="minorEastAsia" w:eastAsiaTheme="minorEastAsia" w:cstheme="minorEastAsia"/>
          <w:sz w:val="28"/>
          <w:szCs w:val="28"/>
        </w:rPr>
        <w:t>承诺函</w:t>
      </w:r>
      <w:bookmarkEnd w:id="101"/>
      <w:bookmarkEnd w:id="102"/>
      <w:bookmarkEnd w:id="103"/>
      <w:bookmarkEnd w:id="104"/>
    </w:p>
    <w:p>
      <w:pPr>
        <w:spacing w:line="400" w:lineRule="exact"/>
        <w:ind w:firstLine="440"/>
        <w:rPr>
          <w:rFonts w:hint="eastAsia" w:asciiTheme="minorEastAsia" w:hAnsiTheme="minorEastAsia" w:eastAsiaTheme="minorEastAsia" w:cstheme="minorEastAsia"/>
          <w:szCs w:val="21"/>
        </w:rPr>
      </w:pPr>
    </w:p>
    <w:p>
      <w:pPr>
        <w:pStyle w:val="6"/>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rPr>
        <w:br w:type="page"/>
      </w:r>
      <w:bookmarkStart w:id="105" w:name="_Toc6381"/>
      <w:bookmarkStart w:id="106" w:name="_Toc3544_WPSOffice_Level1"/>
      <w:bookmarkStart w:id="107" w:name="_Toc31482_WPSOffice_Level1"/>
      <w:bookmarkStart w:id="108" w:name="_Toc13188"/>
      <w:bookmarkStart w:id="109" w:name="_Toc28701_WPSOffice_Level1"/>
      <w:bookmarkStart w:id="110" w:name="_Toc22210"/>
      <w:bookmarkStart w:id="111" w:name="_Toc3025_WPSOffice_Level1"/>
      <w:bookmarkStart w:id="112" w:name="_Toc15905"/>
      <w:bookmarkStart w:id="113" w:name="_Toc13248"/>
      <w:bookmarkStart w:id="114" w:name="_Toc1451"/>
      <w:bookmarkStart w:id="115" w:name="_Toc21795"/>
      <w:bookmarkStart w:id="116" w:name="_Toc24145"/>
      <w:bookmarkStart w:id="117" w:name="_Toc12361_WPSOffice_Level1"/>
      <w:bookmarkStart w:id="118" w:name="_Toc8612"/>
      <w:bookmarkStart w:id="119" w:name="_Toc14324_WPSOffice_Level1"/>
      <w:bookmarkStart w:id="120" w:name="_Toc18851"/>
      <w:bookmarkStart w:id="121" w:name="_Toc4844_WPSOffice_Level1"/>
      <w:bookmarkStart w:id="122" w:name="_Toc14740"/>
      <w:r>
        <w:rPr>
          <w:rStyle w:val="60"/>
          <w:rFonts w:hint="eastAsia" w:asciiTheme="minorEastAsia" w:hAnsiTheme="minorEastAsia" w:eastAsiaTheme="minorEastAsia" w:cstheme="minorEastAsia"/>
          <w:sz w:val="30"/>
          <w:szCs w:val="30"/>
        </w:rPr>
        <w:t>一、报价函</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（采购人名称）：</w:t>
      </w:r>
    </w:p>
    <w:p>
      <w:pPr>
        <w:spacing w:line="440" w:lineRule="exact"/>
        <w:ind w:firstLine="440"/>
        <w:jc w:val="left"/>
        <w:rPr>
          <w:rFonts w:hint="eastAsia" w:asciiTheme="minorEastAsia" w:hAnsiTheme="minorEastAsia" w:eastAsiaTheme="minorEastAsia" w:cstheme="minorEastAsia"/>
          <w:szCs w:val="21"/>
        </w:rPr>
      </w:pP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我方已仔细研究了</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（项目名称）采购文件的全部内容，在考察现场后，愿意按采购文件规定提供服务</w:t>
      </w:r>
      <w:r>
        <w:rPr>
          <w:rFonts w:hint="eastAsia" w:asciiTheme="minorEastAsia" w:hAnsiTheme="minorEastAsia" w:eastAsiaTheme="minorEastAsia" w:cstheme="minorEastAsia"/>
          <w:szCs w:val="21"/>
          <w:lang w:val="en-US" w:eastAsia="zh-CN"/>
        </w:rPr>
        <w:t>方案设计</w:t>
      </w:r>
      <w:r>
        <w:rPr>
          <w:rFonts w:hint="eastAsia" w:asciiTheme="minorEastAsia" w:hAnsiTheme="minorEastAsia" w:eastAsiaTheme="minorEastAsia" w:cstheme="minorEastAsia"/>
          <w:szCs w:val="21"/>
        </w:rPr>
        <w:t>的总报价为人民币（大写）</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元</w:t>
      </w:r>
      <w:r>
        <w:rPr>
          <w:rFonts w:hint="eastAsia" w:asciiTheme="minorEastAsia" w:hAnsiTheme="minorEastAsia" w:eastAsiaTheme="minorEastAsia" w:cstheme="minorEastAsia"/>
          <w:szCs w:val="21"/>
        </w:rPr>
        <w:t>，并按合同约定实施和完成承包项目。</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1、我方根据采购文件的规定，严格履行合同的责任和义务,并保证于采购方要求完成服务</w:t>
      </w:r>
      <w:r>
        <w:rPr>
          <w:rFonts w:hint="eastAsia" w:asciiTheme="minorEastAsia" w:hAnsiTheme="minorEastAsia" w:eastAsiaTheme="minorEastAsia" w:cstheme="minorEastAsia"/>
          <w:szCs w:val="21"/>
          <w:lang w:val="en-US" w:eastAsia="zh-CN"/>
        </w:rPr>
        <w:t>方案设计</w:t>
      </w:r>
      <w:r>
        <w:rPr>
          <w:rFonts w:hint="eastAsia" w:asciiTheme="minorEastAsia" w:hAnsiTheme="minorEastAsia" w:eastAsiaTheme="minorEastAsia" w:cstheme="minorEastAsia"/>
          <w:szCs w:val="21"/>
        </w:rPr>
        <w:t>，并通过采购方验收。</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2、我方已详细阅读采购文件全部内容，我方正式认可本次采购文件，并对采购文件各项条款均无异议。</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3、我方同意采购文件规定的付款方式。</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4、如我方成交：</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（1）我方承诺在收到成交通知书后，在成交通知书规定的期限内与你方签订合同。</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（2）我方承诺按照合同约定完成服务</w:t>
      </w:r>
      <w:r>
        <w:rPr>
          <w:rFonts w:hint="eastAsia" w:asciiTheme="minorEastAsia" w:hAnsiTheme="minorEastAsia" w:eastAsiaTheme="minorEastAsia" w:cstheme="minorEastAsia"/>
          <w:szCs w:val="21"/>
          <w:lang w:val="en-US" w:eastAsia="zh-CN"/>
        </w:rPr>
        <w:t>方案设计</w:t>
      </w:r>
      <w:r>
        <w:rPr>
          <w:rFonts w:hint="eastAsia" w:asciiTheme="minorEastAsia" w:hAnsiTheme="minorEastAsia" w:eastAsiaTheme="minorEastAsia" w:cstheme="minorEastAsia"/>
          <w:szCs w:val="21"/>
        </w:rPr>
        <w:t>。</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6、在合同协议书正式签署生效之前，本报价函连同你方的成交通知书将构成我们双方之间共同遵守的文件，对双方具有约束力。</w:t>
      </w:r>
    </w:p>
    <w:p>
      <w:pPr>
        <w:spacing w:line="400" w:lineRule="exact"/>
        <w:ind w:firstLine="440"/>
        <w:rPr>
          <w:rFonts w:hint="eastAsia" w:asciiTheme="minorEastAsia" w:hAnsiTheme="minorEastAsia" w:eastAsiaTheme="minorEastAsia" w:cstheme="minorEastAsia"/>
          <w:szCs w:val="21"/>
        </w:rPr>
      </w:pP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服务商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（盖单位章）</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法定代表人或其委托代理人：</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（签字）</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地址：</w:t>
      </w:r>
      <w:r>
        <w:rPr>
          <w:rFonts w:hint="eastAsia" w:asciiTheme="minorEastAsia" w:hAnsiTheme="minorEastAsia" w:eastAsiaTheme="minorEastAsia" w:cstheme="minorEastAsia"/>
          <w:u w:val="single"/>
        </w:rPr>
        <w:t xml:space="preserve">                                     </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电话：</w:t>
      </w:r>
      <w:r>
        <w:rPr>
          <w:rFonts w:hint="eastAsia" w:asciiTheme="minorEastAsia" w:hAnsiTheme="minorEastAsia" w:eastAsiaTheme="minorEastAsia" w:cstheme="minorEastAsia"/>
          <w:u w:val="single"/>
        </w:rPr>
        <w:t xml:space="preserve">                                     </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传真：</w:t>
      </w:r>
      <w:r>
        <w:rPr>
          <w:rFonts w:hint="eastAsia" w:asciiTheme="minorEastAsia" w:hAnsiTheme="minorEastAsia" w:eastAsiaTheme="minorEastAsia" w:cstheme="minorEastAsia"/>
          <w:u w:val="single"/>
        </w:rPr>
        <w:t xml:space="preserve">                                     </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邮政编码：</w:t>
      </w:r>
      <w:r>
        <w:rPr>
          <w:rFonts w:hint="eastAsia" w:asciiTheme="minorEastAsia" w:hAnsiTheme="minorEastAsia" w:eastAsiaTheme="minorEastAsia" w:cstheme="minorEastAsia"/>
          <w:u w:val="single"/>
        </w:rPr>
        <w:t xml:space="preserve">                                 </w:t>
      </w:r>
    </w:p>
    <w:p>
      <w:pPr>
        <w:ind w:firstLine="5280" w:firstLineChars="2400"/>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年</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日</w:t>
      </w:r>
    </w:p>
    <w:p>
      <w:pPr>
        <w:widowControl/>
        <w:spacing w:line="240" w:lineRule="auto"/>
        <w:ind w:firstLine="0" w:firstLineChars="0"/>
        <w:jc w:val="center"/>
        <w:rPr>
          <w:rFonts w:hint="eastAsia" w:asciiTheme="minorEastAsia" w:hAnsiTheme="minorEastAsia" w:eastAsiaTheme="minorEastAsia" w:cstheme="minorEastAsia"/>
          <w:kern w:val="2"/>
          <w:szCs w:val="21"/>
        </w:rPr>
      </w:pPr>
      <w:r>
        <w:rPr>
          <w:rFonts w:hint="eastAsia" w:asciiTheme="minorEastAsia" w:hAnsiTheme="minorEastAsia" w:eastAsiaTheme="minorEastAsia" w:cstheme="minorEastAsia"/>
          <w:szCs w:val="21"/>
        </w:rPr>
        <w:br w:type="page"/>
      </w:r>
    </w:p>
    <w:p>
      <w:pPr>
        <w:pStyle w:val="15"/>
        <w:ind w:firstLine="440"/>
        <w:rPr>
          <w:rFonts w:hint="eastAsia" w:asciiTheme="minorEastAsia" w:hAnsiTheme="minorEastAsia" w:eastAsiaTheme="minorEastAsia" w:cstheme="minorEastAsia"/>
          <w:szCs w:val="21"/>
        </w:rPr>
      </w:pPr>
    </w:p>
    <w:tbl>
      <w:tblPr>
        <w:tblStyle w:val="36"/>
        <w:tblpPr w:leftFromText="180" w:rightFromText="180" w:vertAnchor="text" w:horzAnchor="page" w:tblpXSpec="center" w:tblpY="1006"/>
        <w:tblOverlap w:val="never"/>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814"/>
        <w:gridCol w:w="3968"/>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jc w:val="center"/>
              <w:rPr>
                <w:rFonts w:hint="eastAsia" w:asciiTheme="minorEastAsia" w:hAnsiTheme="minorEastAsia" w:eastAsiaTheme="minorEastAsia" w:cstheme="minorEastAsia"/>
                <w:b/>
              </w:rPr>
            </w:pPr>
            <w:bookmarkStart w:id="123" w:name="_Toc447808696"/>
            <w:bookmarkStart w:id="124" w:name="_Toc152042580"/>
            <w:bookmarkStart w:id="125" w:name="_Toc457482583"/>
            <w:bookmarkStart w:id="126" w:name="_Toc152045791"/>
            <w:bookmarkStart w:id="127" w:name="_Toc144974860"/>
            <w:r>
              <w:rPr>
                <w:rFonts w:hint="eastAsia" w:asciiTheme="minorEastAsia" w:hAnsiTheme="minorEastAsia" w:eastAsiaTheme="minorEastAsia" w:cstheme="minorEastAsia"/>
                <w:b/>
              </w:rPr>
              <w:t>序号</w:t>
            </w:r>
          </w:p>
        </w:tc>
        <w:tc>
          <w:tcPr>
            <w:tcW w:w="2814" w:type="dxa"/>
            <w:vAlign w:val="center"/>
          </w:tcPr>
          <w:p>
            <w:pPr>
              <w:pStyle w:val="55"/>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条款名称</w:t>
            </w:r>
          </w:p>
        </w:tc>
        <w:tc>
          <w:tcPr>
            <w:tcW w:w="3968" w:type="dxa"/>
            <w:vAlign w:val="center"/>
          </w:tcPr>
          <w:p>
            <w:pPr>
              <w:pStyle w:val="55"/>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约定内容</w:t>
            </w:r>
          </w:p>
        </w:tc>
        <w:tc>
          <w:tcPr>
            <w:tcW w:w="1092" w:type="dxa"/>
            <w:vAlign w:val="center"/>
          </w:tcPr>
          <w:p>
            <w:pPr>
              <w:pStyle w:val="55"/>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缺陷责任期</w:t>
            </w:r>
          </w:p>
        </w:tc>
        <w:tc>
          <w:tcPr>
            <w:tcW w:w="3968" w:type="dxa"/>
            <w:vAlign w:val="center"/>
          </w:tcPr>
          <w:p>
            <w:pPr>
              <w:pStyle w:val="55"/>
              <w:ind w:firstLine="0" w:firstLineChars="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single"/>
                <w14:textFill>
                  <w14:solidFill>
                    <w14:schemeClr w14:val="tx1"/>
                  </w14:solidFill>
                </w14:textFill>
              </w:rPr>
              <w:t>无</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逾期交工违约金</w:t>
            </w:r>
          </w:p>
        </w:tc>
        <w:tc>
          <w:tcPr>
            <w:tcW w:w="3968" w:type="dxa"/>
            <w:vAlign w:val="center"/>
          </w:tcPr>
          <w:p>
            <w:pPr>
              <w:pStyle w:val="55"/>
              <w:ind w:firstLine="0" w:firstLineChars="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single"/>
                <w14:textFill>
                  <w14:solidFill>
                    <w14:schemeClr w14:val="tx1"/>
                  </w14:solidFill>
                </w14:textFill>
              </w:rPr>
              <w:t>无</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逾期交工违约金限额</w:t>
            </w:r>
          </w:p>
        </w:tc>
        <w:tc>
          <w:tcPr>
            <w:tcW w:w="3968" w:type="dxa"/>
            <w:vAlign w:val="center"/>
          </w:tcPr>
          <w:p>
            <w:pPr>
              <w:pStyle w:val="55"/>
              <w:ind w:firstLine="0" w:firstLineChars="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single"/>
                <w14:textFill>
                  <w14:solidFill>
                    <w14:schemeClr w14:val="tx1"/>
                  </w14:solidFill>
                </w14:textFill>
              </w:rPr>
              <w:t>无</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4</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提前交工的奖金 </w:t>
            </w:r>
          </w:p>
        </w:tc>
        <w:tc>
          <w:tcPr>
            <w:tcW w:w="3968"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无</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5</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提前交工的奖金限额</w:t>
            </w:r>
          </w:p>
        </w:tc>
        <w:tc>
          <w:tcPr>
            <w:tcW w:w="3968"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无</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6</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价格调整的差额计算</w:t>
            </w:r>
          </w:p>
        </w:tc>
        <w:tc>
          <w:tcPr>
            <w:tcW w:w="3968"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不调整</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7</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开工预付款金额</w:t>
            </w:r>
          </w:p>
        </w:tc>
        <w:tc>
          <w:tcPr>
            <w:tcW w:w="3968"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0</w:t>
            </w:r>
            <w:r>
              <w:rPr>
                <w:rFonts w:hint="eastAsia" w:asciiTheme="minorEastAsia" w:hAnsiTheme="minorEastAsia" w:eastAsiaTheme="minorEastAsia" w:cstheme="minorEastAsia"/>
              </w:rPr>
              <w:t>%签约合同价</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8</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材料、设备预付款比例</w:t>
            </w:r>
          </w:p>
        </w:tc>
        <w:tc>
          <w:tcPr>
            <w:tcW w:w="3968"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9</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进度付款证书最低限额</w:t>
            </w:r>
          </w:p>
        </w:tc>
        <w:tc>
          <w:tcPr>
            <w:tcW w:w="3968"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c>
          <w:tcPr>
            <w:tcW w:w="1092" w:type="dxa"/>
            <w:vAlign w:val="center"/>
          </w:tcPr>
          <w:p>
            <w:pPr>
              <w:pStyle w:val="55"/>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10</w:t>
            </w:r>
          </w:p>
        </w:tc>
        <w:tc>
          <w:tcPr>
            <w:tcW w:w="2814"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质量保证金</w:t>
            </w:r>
          </w:p>
        </w:tc>
        <w:tc>
          <w:tcPr>
            <w:tcW w:w="3968" w:type="dxa"/>
            <w:vAlign w:val="center"/>
          </w:tcPr>
          <w:p>
            <w:pPr>
              <w:pStyle w:val="55"/>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c>
          <w:tcPr>
            <w:tcW w:w="1092" w:type="dxa"/>
            <w:vAlign w:val="center"/>
          </w:tcPr>
          <w:p>
            <w:pPr>
              <w:pStyle w:val="55"/>
              <w:rPr>
                <w:rFonts w:hint="eastAsia" w:asciiTheme="minorEastAsia" w:hAnsiTheme="minorEastAsia" w:eastAsiaTheme="minorEastAsia" w:cstheme="minorEastAsia"/>
              </w:rPr>
            </w:pPr>
          </w:p>
        </w:tc>
      </w:tr>
    </w:tbl>
    <w:p>
      <w:pPr>
        <w:ind w:firstLine="640"/>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报价函附录</w:t>
      </w:r>
    </w:p>
    <w:p>
      <w:pPr>
        <w:pStyle w:val="6"/>
        <w:jc w:val="center"/>
        <w:rPr>
          <w:rStyle w:val="60"/>
          <w:rFonts w:hint="eastAsia" w:asciiTheme="minorEastAsia" w:hAnsiTheme="minorEastAsia" w:eastAsiaTheme="minorEastAsia" w:cstheme="minorEastAsia"/>
          <w:sz w:val="30"/>
          <w:szCs w:val="30"/>
        </w:rPr>
      </w:pPr>
      <w:bookmarkStart w:id="128" w:name="_Toc15361_WPSOffice_Level1"/>
      <w:bookmarkStart w:id="129" w:name="_Toc16211_WPSOffice_Level1"/>
      <w:bookmarkStart w:id="130" w:name="_Toc27585_WPSOffice_Level1"/>
      <w:bookmarkStart w:id="131" w:name="_Toc2864_WPSOffice_Level1"/>
      <w:bookmarkStart w:id="132" w:name="_Toc18859_WPSOffice_Level1"/>
      <w:bookmarkStart w:id="133" w:name="_Toc16415_WPSOffice_Level1"/>
      <w:bookmarkStart w:id="134" w:name="_Toc674_WPSOffice_Level1"/>
    </w:p>
    <w:p>
      <w:pPr>
        <w:ind w:firstLine="480"/>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br w:type="page"/>
      </w:r>
    </w:p>
    <w:p>
      <w:pPr>
        <w:pStyle w:val="6"/>
        <w:jc w:val="center"/>
        <w:rPr>
          <w:rStyle w:val="60"/>
          <w:rFonts w:hint="eastAsia" w:asciiTheme="minorEastAsia" w:hAnsiTheme="minorEastAsia" w:eastAsiaTheme="minorEastAsia" w:cstheme="minorEastAsia"/>
          <w:sz w:val="30"/>
          <w:szCs w:val="30"/>
        </w:rPr>
      </w:pPr>
      <w:r>
        <w:rPr>
          <w:rStyle w:val="60"/>
          <w:rFonts w:hint="eastAsia" w:asciiTheme="minorEastAsia" w:hAnsiTheme="minorEastAsia" w:eastAsiaTheme="minorEastAsia" w:cstheme="minorEastAsia"/>
          <w:sz w:val="30"/>
          <w:szCs w:val="30"/>
        </w:rPr>
        <w:t>二、授权委托书或法定代表人身份证明</w:t>
      </w:r>
      <w:bookmarkEnd w:id="123"/>
      <w:bookmarkEnd w:id="124"/>
      <w:bookmarkEnd w:id="125"/>
      <w:bookmarkEnd w:id="126"/>
      <w:bookmarkEnd w:id="127"/>
      <w:bookmarkEnd w:id="128"/>
      <w:bookmarkEnd w:id="129"/>
      <w:bookmarkEnd w:id="130"/>
      <w:bookmarkEnd w:id="131"/>
      <w:bookmarkEnd w:id="132"/>
      <w:bookmarkEnd w:id="133"/>
      <w:bookmarkEnd w:id="134"/>
    </w:p>
    <w:p>
      <w:pPr>
        <w:spacing w:line="400" w:lineRule="exact"/>
        <w:ind w:firstLine="0" w:firstLineChars="0"/>
        <w:jc w:val="center"/>
        <w:rPr>
          <w:rFonts w:hint="eastAsia" w:asciiTheme="minorEastAsia" w:hAnsiTheme="minorEastAsia" w:eastAsiaTheme="minorEastAsia" w:cstheme="minorEastAsia"/>
          <w:b/>
          <w:sz w:val="28"/>
        </w:rPr>
      </w:pPr>
      <w:bookmarkStart w:id="135" w:name="_Toc152045792"/>
      <w:bookmarkStart w:id="136" w:name="_Toc152042581"/>
      <w:bookmarkStart w:id="137" w:name="_Toc144974861"/>
      <w:r>
        <w:rPr>
          <w:rFonts w:hint="eastAsia" w:asciiTheme="minorEastAsia" w:hAnsiTheme="minorEastAsia" w:eastAsiaTheme="minorEastAsia" w:cstheme="minorEastAsia"/>
          <w:b/>
          <w:sz w:val="28"/>
        </w:rPr>
        <w:t>（一）授权委托书</w:t>
      </w:r>
      <w:bookmarkEnd w:id="135"/>
      <w:bookmarkEnd w:id="136"/>
      <w:bookmarkEnd w:id="137"/>
    </w:p>
    <w:p>
      <w:pPr>
        <w:spacing w:line="400" w:lineRule="exact"/>
        <w:ind w:firstLine="440"/>
        <w:rPr>
          <w:rFonts w:hint="eastAsia" w:asciiTheme="minorEastAsia" w:hAnsiTheme="minorEastAsia" w:eastAsiaTheme="minorEastAsia" w:cstheme="minorEastAsia"/>
          <w:szCs w:val="21"/>
        </w:rPr>
      </w:pPr>
    </w:p>
    <w:p>
      <w:pPr>
        <w:topLinePunct/>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（姓名）系</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（服务商名称）的法定代表人，现委托</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（姓名）为我方代理人。代理人根据授权，以我方名义签署、澄清确认、递交、撤回、修改</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（项目名称）报价文件、签订合同和处理有关事宜，其法律后果由我方承担。</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委托期限：自本委托书签署之日起至报价有效期期满。</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代理人无转委托权。</w:t>
      </w:r>
    </w:p>
    <w:p>
      <w:pPr>
        <w:spacing w:line="400" w:lineRule="exact"/>
        <w:ind w:firstLine="44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t>附：法定代表人身份证复印件及委托代理人身份证复印件。</w:t>
      </w:r>
    </w:p>
    <w:p>
      <w:pPr>
        <w:spacing w:line="400" w:lineRule="exact"/>
        <w:ind w:firstLine="440"/>
        <w:rPr>
          <w:rFonts w:hint="eastAsia" w:asciiTheme="minorEastAsia" w:hAnsiTheme="minorEastAsia" w:eastAsiaTheme="minorEastAsia" w:cstheme="minorEastAsia"/>
          <w:szCs w:val="21"/>
        </w:rPr>
      </w:pPr>
    </w:p>
    <w:p>
      <w:pPr>
        <w:topLinePunct/>
        <w:spacing w:line="400" w:lineRule="exact"/>
        <w:ind w:firstLine="4712" w:firstLineChars="21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服务商：</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（盖单位章）</w:t>
      </w:r>
    </w:p>
    <w:p>
      <w:pPr>
        <w:topLinePunct/>
        <w:spacing w:line="400" w:lineRule="exact"/>
        <w:ind w:firstLine="4712" w:firstLineChars="21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（签字）</w:t>
      </w:r>
    </w:p>
    <w:p>
      <w:pPr>
        <w:topLinePunct/>
        <w:spacing w:line="400" w:lineRule="exact"/>
        <w:ind w:firstLine="4712" w:firstLineChars="2142"/>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身份证号码：</w:t>
      </w:r>
      <w:r>
        <w:rPr>
          <w:rFonts w:hint="eastAsia" w:asciiTheme="minorEastAsia" w:hAnsiTheme="minorEastAsia" w:eastAsiaTheme="minorEastAsia" w:cstheme="minorEastAsia"/>
          <w:szCs w:val="21"/>
          <w:u w:val="single"/>
        </w:rPr>
        <w:t xml:space="preserve">                             </w:t>
      </w:r>
    </w:p>
    <w:p>
      <w:pPr>
        <w:topLinePunct/>
        <w:spacing w:line="400" w:lineRule="exact"/>
        <w:ind w:firstLine="4712" w:firstLineChars="21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委托代理人：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（签字）</w:t>
      </w:r>
    </w:p>
    <w:p>
      <w:pPr>
        <w:topLinePunct/>
        <w:spacing w:line="400" w:lineRule="exact"/>
        <w:ind w:firstLine="4712" w:firstLineChars="2142"/>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身份证号码：</w:t>
      </w:r>
      <w:r>
        <w:rPr>
          <w:rFonts w:hint="eastAsia" w:asciiTheme="minorEastAsia" w:hAnsiTheme="minorEastAsia" w:eastAsiaTheme="minorEastAsia" w:cstheme="minorEastAsia"/>
          <w:szCs w:val="21"/>
          <w:u w:val="single"/>
        </w:rPr>
        <w:t xml:space="preserve">                             </w:t>
      </w:r>
    </w:p>
    <w:p>
      <w:pPr>
        <w:topLinePunct/>
        <w:spacing w:line="400" w:lineRule="exact"/>
        <w:ind w:firstLine="4712" w:firstLineChars="2142"/>
        <w:rPr>
          <w:rFonts w:hint="eastAsia" w:asciiTheme="minorEastAsia" w:hAnsiTheme="minorEastAsia" w:eastAsiaTheme="minorEastAsia" w:cstheme="minorEastAsia"/>
          <w:szCs w:val="21"/>
        </w:rPr>
      </w:pPr>
    </w:p>
    <w:p>
      <w:pPr>
        <w:topLinePunct/>
        <w:spacing w:line="400" w:lineRule="exact"/>
        <w:ind w:firstLine="5368" w:firstLineChars="2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spacing w:line="400" w:lineRule="exact"/>
        <w:ind w:firstLine="4712" w:firstLineChars="2142"/>
        <w:rPr>
          <w:rFonts w:hint="eastAsia" w:asciiTheme="minorEastAsia" w:hAnsiTheme="minorEastAsia" w:eastAsiaTheme="minorEastAsia" w:cstheme="minorEastAsia"/>
        </w:rPr>
      </w:pPr>
    </w:p>
    <w:p>
      <w:pPr>
        <w:spacing w:line="400" w:lineRule="exact"/>
        <w:ind w:firstLine="440"/>
        <w:rPr>
          <w:rFonts w:hint="eastAsia" w:asciiTheme="minorEastAsia" w:hAnsiTheme="minorEastAsia" w:eastAsiaTheme="minorEastAsia" w:cstheme="minorEastAsia"/>
          <w:szCs w:val="21"/>
        </w:rPr>
      </w:pPr>
    </w:p>
    <w:p>
      <w:pPr>
        <w:spacing w:line="400" w:lineRule="exact"/>
        <w:ind w:firstLine="44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注：</w:t>
      </w:r>
    </w:p>
    <w:p>
      <w:pPr>
        <w:spacing w:line="400" w:lineRule="exact"/>
        <w:ind w:firstLine="44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1.法定代表人和委托代理人必须在授权书上亲笔签名，不得使用印章、签名章或其他电子制版签名。</w:t>
      </w:r>
    </w:p>
    <w:p>
      <w:pPr>
        <w:spacing w:line="400" w:lineRule="exact"/>
        <w:ind w:firstLine="0" w:firstLineChars="0"/>
        <w:jc w:val="center"/>
        <w:rPr>
          <w:rFonts w:hint="eastAsia" w:asciiTheme="minorEastAsia" w:hAnsiTheme="minorEastAsia" w:eastAsiaTheme="minorEastAsia" w:cstheme="minorEastAsia"/>
          <w:b/>
          <w:sz w:val="28"/>
        </w:rPr>
      </w:pPr>
      <w:r>
        <w:rPr>
          <w:rFonts w:hint="eastAsia" w:asciiTheme="minorEastAsia" w:hAnsiTheme="minorEastAsia" w:eastAsiaTheme="minorEastAsia" w:cstheme="minorEastAsia"/>
          <w:sz w:val="24"/>
          <w:szCs w:val="24"/>
        </w:rPr>
        <w:br w:type="page"/>
      </w:r>
      <w:r>
        <w:rPr>
          <w:rFonts w:hint="eastAsia" w:asciiTheme="minorEastAsia" w:hAnsiTheme="minorEastAsia" w:eastAsiaTheme="minorEastAsia" w:cstheme="minorEastAsia"/>
          <w:b/>
          <w:sz w:val="28"/>
        </w:rPr>
        <w:t>（二）法定代表人身份证明</w:t>
      </w:r>
    </w:p>
    <w:p>
      <w:pPr>
        <w:spacing w:line="400" w:lineRule="exact"/>
        <w:ind w:firstLine="440"/>
        <w:rPr>
          <w:rFonts w:hint="eastAsia" w:asciiTheme="minorEastAsia" w:hAnsiTheme="minorEastAsia" w:eastAsiaTheme="minorEastAsia" w:cstheme="minorEastAsia"/>
          <w:szCs w:val="21"/>
        </w:rPr>
      </w:pP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服务商名称：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姓名：</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bCs/>
          <w:szCs w:val="21"/>
          <w:u w:val="single"/>
        </w:rPr>
        <w:t xml:space="preserve">（法定代表人亲笔签字）  </w:t>
      </w:r>
      <w:r>
        <w:rPr>
          <w:rFonts w:hint="eastAsia" w:asciiTheme="minorEastAsia" w:hAnsiTheme="minorEastAsia" w:eastAsiaTheme="minorEastAsia" w:cstheme="minorEastAsia"/>
          <w:szCs w:val="21"/>
        </w:rPr>
        <w:t xml:space="preserve"> 性别：</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年龄：</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职务：</w:t>
      </w:r>
      <w:r>
        <w:rPr>
          <w:rFonts w:hint="eastAsia" w:asciiTheme="minorEastAsia" w:hAnsiTheme="minorEastAsia" w:eastAsiaTheme="minorEastAsia" w:cstheme="minorEastAsia"/>
          <w:szCs w:val="21"/>
          <w:u w:val="single"/>
        </w:rPr>
        <w:t xml:space="preserve">        </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系</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（服务商名称）的法定代表人。</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特此证明。</w:t>
      </w:r>
    </w:p>
    <w:p>
      <w:pPr>
        <w:spacing w:line="400" w:lineRule="exact"/>
        <w:ind w:firstLine="44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t>附：法定代表人身份证复印件。</w:t>
      </w:r>
    </w:p>
    <w:p>
      <w:pPr>
        <w:spacing w:line="400" w:lineRule="exact"/>
        <w:ind w:firstLine="440"/>
        <w:rPr>
          <w:rFonts w:hint="eastAsia" w:asciiTheme="minorEastAsia" w:hAnsiTheme="minorEastAsia" w:eastAsiaTheme="minorEastAsia" w:cstheme="minorEastAsia"/>
          <w:szCs w:val="21"/>
        </w:rPr>
      </w:pPr>
    </w:p>
    <w:p>
      <w:pPr>
        <w:spacing w:line="400" w:lineRule="exact"/>
        <w:ind w:firstLine="440"/>
        <w:rPr>
          <w:rFonts w:hint="eastAsia" w:asciiTheme="minorEastAsia" w:hAnsiTheme="minorEastAsia" w:eastAsiaTheme="minorEastAsia" w:cstheme="minorEastAsia"/>
          <w:szCs w:val="21"/>
        </w:rPr>
      </w:pP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服务商：</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（盖单位章）</w:t>
      </w:r>
    </w:p>
    <w:p>
      <w:pPr>
        <w:spacing w:line="400" w:lineRule="exact"/>
        <w:ind w:firstLine="44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spacing w:line="400" w:lineRule="exact"/>
        <w:ind w:firstLine="480"/>
        <w:rPr>
          <w:rFonts w:hint="eastAsia" w:asciiTheme="minorEastAsia" w:hAnsiTheme="minorEastAsia" w:eastAsiaTheme="minorEastAsia" w:cstheme="minorEastAsia"/>
          <w:sz w:val="24"/>
          <w:szCs w:val="24"/>
        </w:rPr>
      </w:pPr>
    </w:p>
    <w:p>
      <w:pPr>
        <w:spacing w:line="400" w:lineRule="exact"/>
        <w:ind w:firstLine="480"/>
        <w:rPr>
          <w:rFonts w:hint="eastAsia" w:asciiTheme="minorEastAsia" w:hAnsiTheme="minorEastAsia" w:eastAsiaTheme="minorEastAsia" w:cstheme="minorEastAsia"/>
          <w:sz w:val="24"/>
          <w:szCs w:val="24"/>
        </w:rPr>
      </w:pPr>
    </w:p>
    <w:p>
      <w:pPr>
        <w:pStyle w:val="15"/>
        <w:ind w:firstLine="480"/>
        <w:rPr>
          <w:rFonts w:hint="eastAsia" w:asciiTheme="minorEastAsia" w:hAnsiTheme="minorEastAsia" w:eastAsiaTheme="minorEastAsia" w:cstheme="minorEastAsia"/>
          <w:sz w:val="24"/>
        </w:rPr>
      </w:pPr>
    </w:p>
    <w:p>
      <w:pPr>
        <w:pStyle w:val="15"/>
        <w:ind w:firstLine="480"/>
        <w:rPr>
          <w:rFonts w:hint="eastAsia" w:asciiTheme="minorEastAsia" w:hAnsiTheme="minorEastAsia" w:eastAsiaTheme="minorEastAsia" w:cstheme="minorEastAsia"/>
          <w:sz w:val="24"/>
        </w:rPr>
      </w:pPr>
    </w:p>
    <w:p>
      <w:pPr>
        <w:pStyle w:val="28"/>
        <w:ind w:firstLine="360"/>
        <w:rPr>
          <w:rFonts w:hint="eastAsia" w:asciiTheme="minorEastAsia" w:hAnsiTheme="minorEastAsia" w:eastAsiaTheme="minorEastAsia" w:cstheme="minorEastAsia"/>
        </w:rPr>
      </w:pPr>
      <w:bookmarkStart w:id="138" w:name="_Toc27936"/>
      <w:bookmarkStart w:id="139" w:name="_Toc21582"/>
      <w:bookmarkStart w:id="140" w:name="_Toc18040"/>
      <w:bookmarkStart w:id="141" w:name="_Toc4724"/>
      <w:bookmarkStart w:id="142" w:name="_Toc32328"/>
      <w:bookmarkStart w:id="143" w:name="_Toc21475"/>
      <w:bookmarkStart w:id="144" w:name="_Toc19141"/>
      <w:bookmarkStart w:id="145" w:name="_Toc7555"/>
      <w:bookmarkStart w:id="146" w:name="_Toc27441"/>
      <w:bookmarkStart w:id="147" w:name="_Toc16997"/>
      <w:bookmarkStart w:id="148" w:name="_Toc31796"/>
      <w:r>
        <w:rPr>
          <w:rFonts w:hint="eastAsia" w:asciiTheme="minorEastAsia" w:hAnsiTheme="minorEastAsia" w:eastAsiaTheme="minorEastAsia" w:cstheme="minorEastAsia"/>
        </w:rPr>
        <w:t xml:space="preserve"> 注：法定代表人的签字必须是亲笔签名，不得使用印章、签名章或其他电子制版签名代替。</w:t>
      </w:r>
    </w:p>
    <w:bookmarkEnd w:id="138"/>
    <w:bookmarkEnd w:id="139"/>
    <w:bookmarkEnd w:id="140"/>
    <w:bookmarkEnd w:id="141"/>
    <w:bookmarkEnd w:id="142"/>
    <w:bookmarkEnd w:id="143"/>
    <w:bookmarkEnd w:id="144"/>
    <w:bookmarkEnd w:id="145"/>
    <w:bookmarkEnd w:id="146"/>
    <w:bookmarkEnd w:id="147"/>
    <w:bookmarkEnd w:id="148"/>
    <w:p>
      <w:pPr>
        <w:spacing w:line="400" w:lineRule="exact"/>
        <w:ind w:firstLine="400"/>
        <w:rPr>
          <w:rFonts w:hint="eastAsia" w:asciiTheme="minorEastAsia" w:hAnsiTheme="minorEastAsia" w:eastAsiaTheme="minorEastAsia" w:cstheme="minorEastAsia"/>
          <w:sz w:val="20"/>
        </w:rPr>
      </w:pPr>
    </w:p>
    <w:p>
      <w:pPr>
        <w:pStyle w:val="6"/>
        <w:jc w:val="center"/>
        <w:rPr>
          <w:rStyle w:val="60"/>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20"/>
          <w:szCs w:val="20"/>
        </w:rPr>
        <w:br w:type="page"/>
      </w:r>
      <w:bookmarkStart w:id="149" w:name="_Toc21081"/>
      <w:bookmarkStart w:id="150" w:name="_Toc295200867"/>
      <w:bookmarkStart w:id="151" w:name="_Toc257805590"/>
      <w:bookmarkStart w:id="152" w:name="_Toc6481"/>
      <w:bookmarkStart w:id="153" w:name="_Toc310946985"/>
      <w:bookmarkStart w:id="154" w:name="_Toc242543492"/>
      <w:bookmarkStart w:id="155" w:name="_Toc17599"/>
      <w:bookmarkStart w:id="156" w:name="_Toc385235368"/>
      <w:bookmarkStart w:id="157" w:name="_Toc14791"/>
      <w:bookmarkStart w:id="158" w:name="_Toc31960"/>
      <w:bookmarkStart w:id="159" w:name="_Toc14892_WPSOffice_Level1"/>
      <w:bookmarkStart w:id="160" w:name="_Toc32015_WPSOffice_Level1"/>
      <w:bookmarkStart w:id="161" w:name="_Toc10632"/>
      <w:bookmarkStart w:id="162" w:name="_Toc27178_WPSOffice_Level1"/>
      <w:bookmarkStart w:id="163" w:name="_Toc3594"/>
      <w:bookmarkStart w:id="164" w:name="_Toc30153"/>
      <w:bookmarkStart w:id="165" w:name="_Toc16708_WPSOffice_Level1"/>
      <w:bookmarkStart w:id="166" w:name="_Toc22936"/>
      <w:bookmarkStart w:id="167" w:name="_Toc2515"/>
      <w:bookmarkStart w:id="168" w:name="_Toc19618_WPSOffice_Level1"/>
      <w:bookmarkStart w:id="169" w:name="_Toc10255_WPSOffice_Level1"/>
      <w:bookmarkStart w:id="170" w:name="_Toc21305_WPSOffice_Level1"/>
      <w:r>
        <w:rPr>
          <w:rStyle w:val="60"/>
          <w:rFonts w:hint="eastAsia" w:asciiTheme="minorEastAsia" w:hAnsiTheme="minorEastAsia" w:eastAsiaTheme="minorEastAsia" w:cstheme="minorEastAsia"/>
          <w:sz w:val="30"/>
          <w:szCs w:val="30"/>
        </w:rPr>
        <w:t>三、资格审查资料</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Start w:id="171" w:name="_Toc5685"/>
      <w:bookmarkStart w:id="172" w:name="_Toc9673"/>
      <w:bookmarkStart w:id="173" w:name="_Toc10974"/>
      <w:bookmarkStart w:id="174" w:name="_Toc679"/>
    </w:p>
    <w:bookmarkEnd w:id="171"/>
    <w:bookmarkEnd w:id="172"/>
    <w:bookmarkEnd w:id="173"/>
    <w:bookmarkEnd w:id="174"/>
    <w:p>
      <w:pPr>
        <w:tabs>
          <w:tab w:val="left" w:pos="3229"/>
        </w:tabs>
        <w:spacing w:line="400" w:lineRule="exact"/>
        <w:jc w:val="center"/>
        <w:rPr>
          <w:rFonts w:hint="eastAsia" w:asciiTheme="minorEastAsia" w:hAnsiTheme="minorEastAsia" w:eastAsiaTheme="minorEastAsia" w:cstheme="minorEastAsia"/>
          <w:b/>
          <w:sz w:val="28"/>
        </w:rPr>
      </w:pPr>
      <w:r>
        <w:rPr>
          <w:rFonts w:hint="eastAsia" w:asciiTheme="minorEastAsia" w:hAnsiTheme="minorEastAsia" w:eastAsiaTheme="minorEastAsia" w:cstheme="minorEastAsia"/>
          <w:b/>
          <w:sz w:val="28"/>
        </w:rPr>
        <w:t>（一）服务商基本情况</w:t>
      </w:r>
    </w:p>
    <w:p>
      <w:pPr>
        <w:pStyle w:val="15"/>
        <w:ind w:firstLine="440"/>
        <w:rPr>
          <w:rFonts w:hint="eastAsia" w:asciiTheme="minorEastAsia" w:hAnsiTheme="minorEastAsia" w:eastAsiaTheme="minorEastAsia" w:cstheme="minorEastAsia"/>
        </w:rPr>
      </w:pPr>
    </w:p>
    <w:p>
      <w:pPr>
        <w:ind w:firstLine="440"/>
        <w:rPr>
          <w:rFonts w:hint="eastAsia" w:asciiTheme="minorEastAsia" w:hAnsiTheme="minorEastAsia" w:eastAsiaTheme="minorEastAsia" w:cstheme="minorEastAsia"/>
        </w:rPr>
      </w:pPr>
      <w:bookmarkStart w:id="175" w:name="_Toc8291"/>
      <w:bookmarkStart w:id="176" w:name="_Toc17798"/>
      <w:bookmarkStart w:id="177" w:name="_Toc31073"/>
      <w:bookmarkStart w:id="178" w:name="_Toc948"/>
      <w:r>
        <w:rPr>
          <w:rFonts w:hint="eastAsia" w:asciiTheme="minorEastAsia" w:hAnsiTheme="minorEastAsia" w:eastAsiaTheme="minorEastAsia" w:cstheme="minorEastAsia"/>
        </w:rPr>
        <w:t>由报价单位自行设计，主要反映报价单位的总体情况，包括法定代表人及代理人身份证复印件、营业执照、资质证书、业绩等材料，要求材料真实、可信，并附复印件加盖公章，相关要求见询比公告。</w:t>
      </w:r>
    </w:p>
    <w:p>
      <w:pPr>
        <w:ind w:firstLine="360"/>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sz w:val="18"/>
          <w:szCs w:val="18"/>
        </w:rPr>
        <w:br w:type="page"/>
      </w:r>
      <w:bookmarkEnd w:id="175"/>
      <w:bookmarkEnd w:id="176"/>
      <w:bookmarkEnd w:id="177"/>
      <w:bookmarkEnd w:id="178"/>
      <w:bookmarkStart w:id="179" w:name="_Toc26090"/>
      <w:bookmarkStart w:id="180" w:name="_Toc27534"/>
      <w:bookmarkStart w:id="181" w:name="_Toc17874"/>
      <w:bookmarkStart w:id="182" w:name="_Toc9751"/>
      <w:r>
        <w:rPr>
          <w:rFonts w:hint="eastAsia" w:asciiTheme="minorEastAsia" w:hAnsiTheme="minorEastAsia" w:eastAsiaTheme="minorEastAsia" w:cstheme="minorEastAsia"/>
          <w:b/>
          <w:sz w:val="28"/>
        </w:rPr>
        <w:t>（二）项目组成员情况表</w:t>
      </w:r>
    </w:p>
    <w:bookmarkEnd w:id="179"/>
    <w:bookmarkEnd w:id="180"/>
    <w:bookmarkEnd w:id="181"/>
    <w:bookmarkEnd w:id="182"/>
    <w:p>
      <w:pPr>
        <w:ind w:firstLine="440"/>
        <w:rPr>
          <w:rFonts w:hint="eastAsia" w:asciiTheme="minorEastAsia" w:hAnsiTheme="minorEastAsia" w:eastAsiaTheme="minorEastAsia" w:cstheme="minorEastAsia"/>
        </w:rPr>
      </w:pPr>
      <w:bookmarkStart w:id="183" w:name="_Toc22934"/>
      <w:bookmarkStart w:id="184" w:name="_Toc12642"/>
      <w:bookmarkStart w:id="185" w:name="_Toc17876"/>
      <w:bookmarkStart w:id="186" w:name="_Toc3582"/>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备注：附有关资格证书复印件（加盖公章）。</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bookmarkEnd w:id="183"/>
      <w:bookmarkEnd w:id="184"/>
      <w:bookmarkEnd w:id="185"/>
      <w:bookmarkEnd w:id="186"/>
    </w:p>
    <w:p>
      <w:pPr>
        <w:pStyle w:val="6"/>
        <w:numPr>
          <w:ilvl w:val="0"/>
          <w:numId w:val="3"/>
        </w:num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询比采购服务方案</w:t>
      </w:r>
    </w:p>
    <w:p>
      <w:pPr>
        <w:ind w:firstLine="0" w:firstLineChars="0"/>
        <w:rPr>
          <w:rFonts w:hint="eastAsia" w:asciiTheme="minorEastAsia" w:hAnsiTheme="minorEastAsia" w:eastAsiaTheme="minorEastAsia" w:cstheme="minorEastAsia"/>
        </w:rPr>
      </w:pP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服务商根据项目情况自行编写。（服务</w:t>
      </w:r>
      <w:r>
        <w:rPr>
          <w:rFonts w:hint="eastAsia" w:asciiTheme="minorEastAsia" w:hAnsiTheme="minorEastAsia" w:eastAsiaTheme="minorEastAsia" w:cstheme="minorEastAsia"/>
          <w:lang w:val="en-US" w:eastAsia="zh-CN"/>
        </w:rPr>
        <w:t>方案设计</w:t>
      </w:r>
      <w:r>
        <w:rPr>
          <w:rFonts w:hint="eastAsia" w:asciiTheme="minorEastAsia" w:hAnsiTheme="minorEastAsia" w:eastAsiaTheme="minorEastAsia" w:cstheme="minorEastAsia"/>
        </w:rPr>
        <w:t>，编写服务方案，例如：驻场人员，费用构成、后勤生活设施、技术保障、服务内容、组织措施等，格式自拟）</w:t>
      </w:r>
    </w:p>
    <w:p>
      <w:pPr>
        <w:pStyle w:val="6"/>
        <w:jc w:val="center"/>
        <w:rPr>
          <w:rStyle w:val="60"/>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24"/>
        </w:rPr>
        <w:br w:type="page"/>
      </w:r>
      <w:bookmarkStart w:id="187" w:name="_Toc31327"/>
      <w:bookmarkStart w:id="188" w:name="_Toc520108224"/>
      <w:bookmarkStart w:id="189" w:name="_Toc7135_WPSOffice_Level1"/>
      <w:bookmarkStart w:id="190" w:name="_Toc21247_WPSOffice_Level1"/>
      <w:bookmarkStart w:id="191" w:name="_Toc12793_WPSOffice_Level1"/>
      <w:bookmarkStart w:id="192" w:name="_Toc8233"/>
      <w:bookmarkStart w:id="193" w:name="_Toc15575"/>
      <w:bookmarkStart w:id="194" w:name="_Toc11705_WPSOffice_Level1"/>
      <w:bookmarkStart w:id="195" w:name="_Toc7999"/>
      <w:bookmarkStart w:id="196" w:name="_Toc16037_WPSOffice_Level1"/>
      <w:bookmarkStart w:id="197" w:name="_Toc29208"/>
      <w:bookmarkStart w:id="198" w:name="_Toc6648"/>
    </w:p>
    <w:bookmarkEnd w:id="33"/>
    <w:bookmarkEnd w:id="187"/>
    <w:bookmarkEnd w:id="188"/>
    <w:bookmarkEnd w:id="189"/>
    <w:bookmarkEnd w:id="190"/>
    <w:bookmarkEnd w:id="191"/>
    <w:bookmarkEnd w:id="192"/>
    <w:bookmarkEnd w:id="193"/>
    <w:bookmarkEnd w:id="194"/>
    <w:bookmarkEnd w:id="195"/>
    <w:bookmarkEnd w:id="196"/>
    <w:bookmarkEnd w:id="197"/>
    <w:bookmarkEnd w:id="198"/>
    <w:p>
      <w:pPr>
        <w:pStyle w:val="6"/>
        <w:jc w:val="center"/>
        <w:rPr>
          <w:rFonts w:hint="eastAsia" w:asciiTheme="minorEastAsia" w:hAnsiTheme="minorEastAsia" w:eastAsiaTheme="minorEastAsia" w:cstheme="minorEastAsia"/>
        </w:rPr>
      </w:pPr>
      <w:bookmarkStart w:id="199" w:name="_Toc12165_WPSOffice_Level1"/>
      <w:bookmarkStart w:id="200" w:name="_Toc18772"/>
      <w:bookmarkStart w:id="201" w:name="_Toc3286"/>
      <w:bookmarkStart w:id="202" w:name="_Toc14899_WPSOffice_Level1"/>
      <w:bookmarkStart w:id="203" w:name="_Toc16032_WPSOffice_Level1"/>
      <w:bookmarkStart w:id="204" w:name="_Toc7823"/>
      <w:bookmarkStart w:id="205" w:name="_Toc15787_WPSOffice_Level1"/>
      <w:bookmarkStart w:id="206" w:name="_Toc24918"/>
      <w:bookmarkStart w:id="207" w:name="_Toc7335"/>
      <w:bookmarkStart w:id="208" w:name="_Toc22728"/>
      <w:bookmarkStart w:id="209" w:name="_Toc16841"/>
      <w:bookmarkStart w:id="210" w:name="_Toc15475_WPSOffice_Level1"/>
      <w:bookmarkStart w:id="211" w:name="_Toc16223"/>
      <w:bookmarkStart w:id="212" w:name="_Toc15362_WPSOffice_Level1"/>
      <w:bookmarkStart w:id="213" w:name="_Toc4413"/>
      <w:bookmarkStart w:id="214" w:name="_Toc20925_WPSOffice_Level1"/>
      <w:r>
        <w:rPr>
          <w:rFonts w:hint="eastAsia" w:asciiTheme="minorEastAsia" w:hAnsiTheme="minorEastAsia" w:eastAsiaTheme="minorEastAsia" w:cstheme="minorEastAsia"/>
        </w:rPr>
        <w:t>五、已标价报价清单</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1、填写此表时不得改变表格的形式。</w:t>
      </w:r>
    </w:p>
    <w:p>
      <w:pPr>
        <w:ind w:firstLine="442"/>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2、本</w:t>
      </w:r>
      <w:r>
        <w:rPr>
          <w:rFonts w:hint="eastAsia" w:asciiTheme="minorEastAsia" w:hAnsiTheme="minorEastAsia" w:eastAsiaTheme="minorEastAsia" w:cstheme="minorEastAsia"/>
          <w:b/>
          <w:bCs/>
        </w:rPr>
        <w:t>项目</w:t>
      </w:r>
      <w:r>
        <w:rPr>
          <w:rFonts w:hint="eastAsia" w:asciiTheme="minorEastAsia" w:hAnsiTheme="minorEastAsia" w:eastAsiaTheme="minorEastAsia" w:cstheme="minorEastAsia"/>
          <w:b/>
          <w:bCs/>
          <w:lang w:val="en-US" w:eastAsia="zh-CN"/>
        </w:rPr>
        <w:t>最高</w:t>
      </w:r>
      <w:r>
        <w:rPr>
          <w:rFonts w:hint="eastAsia" w:asciiTheme="minorEastAsia" w:hAnsiTheme="minorEastAsia" w:eastAsiaTheme="minorEastAsia" w:cstheme="minorEastAsia"/>
          <w:b/>
          <w:bCs/>
        </w:rPr>
        <w:t>限价</w:t>
      </w:r>
      <w:r>
        <w:rPr>
          <w:rFonts w:hint="eastAsia" w:asciiTheme="minorEastAsia" w:hAnsiTheme="minorEastAsia" w:eastAsiaTheme="minorEastAsia" w:cstheme="minorEastAsia"/>
          <w:b/>
          <w:bCs/>
          <w:lang w:val="en-US" w:eastAsia="zh-CN"/>
        </w:rPr>
        <w:t>10</w:t>
      </w:r>
      <w:r>
        <w:rPr>
          <w:rFonts w:hint="eastAsia" w:asciiTheme="minorEastAsia" w:hAnsiTheme="minorEastAsia" w:eastAsiaTheme="minorEastAsia" w:cstheme="minorEastAsia"/>
          <w:b/>
          <w:bCs/>
          <w:lang w:eastAsia="zh-CN"/>
        </w:rPr>
        <w:t>万</w:t>
      </w:r>
      <w:r>
        <w:rPr>
          <w:rFonts w:hint="eastAsia" w:asciiTheme="minorEastAsia" w:hAnsiTheme="minorEastAsia" w:eastAsiaTheme="minorEastAsia" w:cstheme="minorEastAsia"/>
          <w:b/>
          <w:bCs/>
        </w:rPr>
        <w:t>元，超出限价以否决报价处理。</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3、报价包括为完成本项目所有工作范围内所需的一切报酬、设备费、材料费、人员差旅费、</w:t>
      </w:r>
      <w:r>
        <w:rPr>
          <w:rFonts w:hint="eastAsia" w:asciiTheme="minorEastAsia" w:hAnsiTheme="minorEastAsia" w:eastAsiaTheme="minorEastAsia" w:cstheme="minorEastAsia"/>
          <w:color w:val="FF0000"/>
          <w:lang w:eastAsia="zh-CN"/>
        </w:rPr>
        <w:t>评审费用、</w:t>
      </w:r>
      <w:r>
        <w:rPr>
          <w:rFonts w:hint="eastAsia" w:asciiTheme="minorEastAsia" w:hAnsiTheme="minorEastAsia" w:eastAsiaTheme="minorEastAsia" w:cstheme="minorEastAsia"/>
        </w:rPr>
        <w:t>委托第三方事项产生的所有设备费和其他费用、增加设备正常、合法、安全运行、使用所必需的及所有部件、版权、专利等一切费用（均为含税金）。</w:t>
      </w:r>
    </w:p>
    <w:p>
      <w:pPr>
        <w:pStyle w:val="15"/>
        <w:ind w:firstLine="0" w:firstLineChars="0"/>
        <w:jc w:val="center"/>
        <w:rPr>
          <w:rFonts w:hint="eastAsia" w:asciiTheme="minorEastAsia" w:hAnsiTheme="minorEastAsia" w:eastAsiaTheme="minorEastAsia" w:cstheme="minorEastAsia"/>
          <w:b/>
          <w:bCs w:val="0"/>
          <w:iCs/>
          <w:sz w:val="30"/>
          <w:szCs w:val="30"/>
        </w:rPr>
      </w:pPr>
      <w:r>
        <w:rPr>
          <w:rFonts w:hint="eastAsia" w:asciiTheme="minorEastAsia" w:hAnsiTheme="minorEastAsia" w:eastAsiaTheme="minorEastAsia" w:cstheme="minorEastAsia"/>
          <w:b/>
          <w:bCs w:val="0"/>
          <w:iCs/>
          <w:sz w:val="30"/>
          <w:szCs w:val="30"/>
          <w:lang w:val="en-US" w:eastAsia="zh-CN"/>
        </w:rPr>
        <w:t>霍山县兴水生态工程社会稳定风险评估项目</w:t>
      </w:r>
      <w:r>
        <w:rPr>
          <w:rFonts w:hint="eastAsia" w:asciiTheme="minorEastAsia" w:hAnsiTheme="minorEastAsia" w:eastAsiaTheme="minorEastAsia" w:cstheme="minorEastAsia"/>
          <w:b/>
          <w:bCs w:val="0"/>
          <w:iCs/>
          <w:sz w:val="30"/>
          <w:szCs w:val="30"/>
        </w:rPr>
        <w:t>报价清单</w:t>
      </w:r>
    </w:p>
    <w:p>
      <w:pPr>
        <w:pStyle w:val="15"/>
        <w:ind w:firstLine="0" w:firstLineChars="0"/>
        <w:jc w:val="left"/>
        <w:rPr>
          <w:rFonts w:hint="eastAsia" w:asciiTheme="minorEastAsia" w:hAnsiTheme="minorEastAsia" w:eastAsiaTheme="minorEastAsia" w:cstheme="minorEastAsia"/>
          <w:kern w:val="0"/>
          <w:szCs w:val="22"/>
        </w:rPr>
      </w:pPr>
    </w:p>
    <w:tbl>
      <w:tblPr>
        <w:tblStyle w:val="36"/>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lang w:val="en-US" w:eastAsia="zh-CN"/>
              </w:rPr>
            </w:pPr>
            <w:r>
              <w:rPr>
                <w:rFonts w:hint="eastAsia" w:asciiTheme="minorEastAsia" w:hAnsiTheme="minorEastAsia" w:eastAsiaTheme="minorEastAsia" w:cstheme="minorEastAsia"/>
                <w:b/>
                <w:lang w:val="en-US" w:eastAsia="zh-CN"/>
              </w:rPr>
              <w:t>最高限价</w:t>
            </w:r>
          </w:p>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报价（万元）</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kern w:val="2"/>
                <w:lang w:val="en-US" w:eastAsia="zh-CN"/>
              </w:rPr>
              <w:t>霍山县兴水生态工程社会稳定风险评估项目</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r>
              <w:rPr>
                <w:rFonts w:hint="eastAsia" w:asciiTheme="minorEastAsia" w:hAnsiTheme="minorEastAsia" w:eastAsiaTheme="minorEastAsia" w:cstheme="minor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default" w:asciiTheme="minorEastAsia" w:hAnsiTheme="minorEastAsia" w:eastAsiaTheme="minorEastAsia" w:cstheme="minorEastAsia"/>
                <w:kern w:val="2"/>
                <w:lang w:val="en-US" w:eastAsia="zh-CN"/>
              </w:rPr>
            </w:pPr>
            <w:r>
              <w:rPr>
                <w:rFonts w:hint="eastAsia" w:asciiTheme="minorEastAsia" w:hAnsiTheme="minorEastAsia" w:eastAsiaTheme="minorEastAsia" w:cstheme="minorEastAsia"/>
                <w:kern w:val="2"/>
                <w:lang w:val="en-US" w:eastAsia="zh-CN"/>
              </w:rPr>
              <w:t>10.00</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rP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55"/>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55"/>
              <w:jc w:val="center"/>
              <w:rPr>
                <w:rFonts w:hint="eastAsia" w:asciiTheme="minorEastAsia" w:hAnsiTheme="minorEastAsia" w:eastAsiaTheme="minorEastAsia" w:cstheme="minorEastAsia"/>
                <w:kern w:val="2"/>
              </w:rPr>
            </w:pPr>
          </w:p>
        </w:tc>
      </w:tr>
    </w:tbl>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p>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服务商： </w:t>
      </w:r>
      <w:r>
        <w:rPr>
          <w:rFonts w:hint="eastAsia" w:asciiTheme="minorEastAsia" w:hAnsiTheme="minorEastAsia" w:eastAsiaTheme="minorEastAsia" w:cstheme="minorEastAsia"/>
          <w:sz w:val="24"/>
          <w:u w:val="single"/>
        </w:rPr>
        <w:t xml:space="preserve">（加盖公章） </w:t>
      </w:r>
    </w:p>
    <w:p>
      <w:pPr>
        <w:tabs>
          <w:tab w:val="left" w:pos="3229"/>
        </w:tabs>
        <w:spacing w:line="400" w:lineRule="exact"/>
        <w:ind w:firstLine="48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pPr>
        <w:rPr>
          <w:rFonts w:hint="eastAsia" w:asciiTheme="minorEastAsia" w:hAnsiTheme="minorEastAsia" w:eastAsiaTheme="minorEastAsia" w:cstheme="minorEastAsia"/>
          <w:bCs/>
          <w:iCs/>
          <w:sz w:val="30"/>
          <w:szCs w:val="30"/>
          <w:lang w:eastAsia="zh-CN"/>
        </w:rPr>
      </w:pPr>
      <w:r>
        <w:rPr>
          <w:rFonts w:hint="eastAsia" w:asciiTheme="minorEastAsia" w:hAnsiTheme="minorEastAsia" w:eastAsiaTheme="minorEastAsia" w:cstheme="minorEastAsia"/>
          <w:bCs/>
          <w:iCs/>
          <w:sz w:val="30"/>
          <w:szCs w:val="30"/>
          <w:lang w:eastAsia="zh-CN"/>
        </w:rPr>
        <w:br w:type="page"/>
      </w:r>
    </w:p>
    <w:p>
      <w:pPr>
        <w:pStyle w:val="15"/>
        <w:ind w:firstLine="0" w:firstLineChars="0"/>
        <w:jc w:val="center"/>
        <w:rPr>
          <w:rFonts w:hint="eastAsia" w:asciiTheme="minorEastAsia" w:hAnsiTheme="minorEastAsia" w:eastAsiaTheme="minorEastAsia" w:cstheme="minorEastAsia"/>
          <w:b/>
          <w:bCs w:val="0"/>
          <w:iCs/>
          <w:sz w:val="30"/>
          <w:szCs w:val="30"/>
        </w:rPr>
      </w:pPr>
      <w:r>
        <w:rPr>
          <w:rFonts w:hint="eastAsia" w:asciiTheme="minorEastAsia" w:hAnsiTheme="minorEastAsia" w:eastAsiaTheme="minorEastAsia" w:cstheme="minorEastAsia"/>
          <w:b/>
          <w:bCs w:val="0"/>
          <w:iCs/>
          <w:sz w:val="30"/>
          <w:szCs w:val="30"/>
          <w:lang w:val="en-US" w:eastAsia="zh-CN"/>
        </w:rPr>
        <w:t>霍山县兴水生态工程社会稳定风险评估项目</w:t>
      </w:r>
      <w:r>
        <w:rPr>
          <w:rFonts w:hint="eastAsia" w:asciiTheme="minorEastAsia" w:hAnsiTheme="minorEastAsia" w:eastAsiaTheme="minorEastAsia" w:cstheme="minorEastAsia"/>
          <w:b/>
          <w:bCs w:val="0"/>
          <w:iCs/>
          <w:sz w:val="30"/>
          <w:szCs w:val="30"/>
        </w:rPr>
        <w:t>服务报价清单</w:t>
      </w:r>
    </w:p>
    <w:p>
      <w:pPr>
        <w:pStyle w:val="15"/>
        <w:ind w:firstLine="0" w:firstLineChars="0"/>
        <w:jc w:val="center"/>
        <w:rPr>
          <w:rFonts w:hint="eastAsia" w:asciiTheme="minorEastAsia" w:hAnsiTheme="minorEastAsia" w:eastAsiaTheme="minorEastAsia" w:cstheme="minorEastAsia"/>
          <w:bCs/>
          <w:iCs/>
          <w:sz w:val="30"/>
          <w:szCs w:val="30"/>
          <w:lang w:val="en-US" w:eastAsia="zh-CN"/>
        </w:rPr>
      </w:pPr>
      <w:r>
        <w:rPr>
          <w:rFonts w:hint="eastAsia" w:asciiTheme="minorEastAsia" w:hAnsiTheme="minorEastAsia" w:eastAsiaTheme="minorEastAsia" w:cstheme="minorEastAsia"/>
          <w:bCs/>
          <w:iCs/>
          <w:sz w:val="30"/>
          <w:szCs w:val="30"/>
        </w:rPr>
        <w:t>（二轮报价</w:t>
      </w:r>
      <w:r>
        <w:rPr>
          <w:rFonts w:hint="eastAsia" w:asciiTheme="minorEastAsia" w:hAnsiTheme="minorEastAsia" w:eastAsiaTheme="minorEastAsia" w:cstheme="minorEastAsia"/>
          <w:bCs/>
          <w:iCs/>
          <w:sz w:val="30"/>
          <w:szCs w:val="30"/>
          <w:lang w:eastAsia="zh-CN"/>
        </w:rPr>
        <w:t>“</w:t>
      </w:r>
      <w:r>
        <w:rPr>
          <w:rFonts w:hint="eastAsia" w:asciiTheme="minorEastAsia" w:hAnsiTheme="minorEastAsia" w:eastAsiaTheme="minorEastAsia" w:cstheme="minorEastAsia"/>
          <w:bCs/>
          <w:iCs/>
          <w:sz w:val="30"/>
          <w:szCs w:val="30"/>
          <w:lang w:val="en-US" w:eastAsia="zh-CN"/>
        </w:rPr>
        <w:t>现场填写</w:t>
      </w:r>
      <w:r>
        <w:rPr>
          <w:rFonts w:hint="eastAsia" w:asciiTheme="minorEastAsia" w:hAnsiTheme="minorEastAsia" w:eastAsiaTheme="minorEastAsia" w:cstheme="minorEastAsia"/>
          <w:bCs/>
          <w:iCs/>
          <w:sz w:val="30"/>
          <w:szCs w:val="30"/>
          <w:lang w:eastAsia="zh-CN"/>
        </w:rPr>
        <w:t>”</w:t>
      </w:r>
      <w:r>
        <w:rPr>
          <w:rFonts w:hint="eastAsia" w:asciiTheme="minorEastAsia" w:hAnsiTheme="minorEastAsia" w:eastAsiaTheme="minorEastAsia" w:cstheme="minorEastAsia"/>
          <w:bCs/>
          <w:iCs/>
          <w:sz w:val="30"/>
          <w:szCs w:val="30"/>
        </w:rPr>
        <w:t>）</w:t>
      </w:r>
    </w:p>
    <w:tbl>
      <w:tblPr>
        <w:tblStyle w:val="36"/>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lang w:val="en-US" w:eastAsia="zh-CN"/>
              </w:rPr>
            </w:pPr>
            <w:r>
              <w:rPr>
                <w:rFonts w:hint="eastAsia" w:asciiTheme="minorEastAsia" w:hAnsiTheme="minorEastAsia" w:eastAsiaTheme="minorEastAsia" w:cstheme="minorEastAsia"/>
                <w:b/>
                <w:lang w:val="en-US" w:eastAsia="zh-CN"/>
              </w:rPr>
              <w:t>最高限价</w:t>
            </w:r>
          </w:p>
          <w:p>
            <w:pPr>
              <w:pStyle w:val="55"/>
              <w:ind w:firstLine="0" w:firstLineChars="0"/>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ind w:firstLine="0" w:firstLineChars="0"/>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报价（万元）</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lang w:val="en-US" w:eastAsia="zh-CN"/>
              </w:rPr>
              <w:t>霍山县兴水生态工程社会稳定风险评估项目</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r>
              <w:rPr>
                <w:rFonts w:hint="eastAsia" w:asciiTheme="minorEastAsia" w:hAnsiTheme="minorEastAsia" w:eastAsiaTheme="minorEastAsia" w:cstheme="minor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default" w:asciiTheme="minorEastAsia" w:hAnsiTheme="minorEastAsia" w:eastAsiaTheme="minorEastAsia" w:cstheme="minorEastAsia"/>
                <w:kern w:val="2"/>
                <w:lang w:val="en-US" w:eastAsia="zh-CN"/>
              </w:rPr>
            </w:pPr>
            <w:r>
              <w:rPr>
                <w:rFonts w:hint="eastAsia" w:asciiTheme="minorEastAsia" w:hAnsiTheme="minorEastAsia" w:eastAsiaTheme="minorEastAsia" w:cstheme="minorEastAsia"/>
                <w:color w:val="000000"/>
                <w:lang w:val="en-US" w:eastAsia="zh-CN"/>
              </w:rPr>
              <w:t>10.00</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rP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55"/>
              <w:jc w:val="center"/>
              <w:rPr>
                <w:rFonts w:hint="eastAsia" w:asciiTheme="minorEastAsia" w:hAnsiTheme="minorEastAsia" w:eastAsiaTheme="minorEastAsia" w:cstheme="minorEastAsia"/>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55"/>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55"/>
              <w:jc w:val="center"/>
              <w:rPr>
                <w:rFonts w:hint="eastAsia" w:asciiTheme="minorEastAsia" w:hAnsiTheme="minorEastAsia" w:eastAsiaTheme="minorEastAsia" w:cstheme="minorEastAsia"/>
                <w:kern w:val="2"/>
              </w:rPr>
            </w:pPr>
          </w:p>
        </w:tc>
      </w:tr>
    </w:tbl>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p>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服务商： </w:t>
      </w:r>
      <w:r>
        <w:rPr>
          <w:rFonts w:hint="eastAsia" w:asciiTheme="minorEastAsia" w:hAnsiTheme="minorEastAsia" w:eastAsiaTheme="minorEastAsia" w:cstheme="minorEastAsia"/>
          <w:sz w:val="24"/>
          <w:u w:val="single"/>
        </w:rPr>
        <w:t xml:space="preserve">（加盖公章） </w:t>
      </w:r>
    </w:p>
    <w:p>
      <w:pPr>
        <w:tabs>
          <w:tab w:val="left" w:pos="3229"/>
        </w:tabs>
        <w:spacing w:line="400" w:lineRule="exact"/>
        <w:ind w:firstLine="48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pPr>
        <w:widowControl/>
        <w:spacing w:line="240" w:lineRule="auto"/>
        <w:ind w:firstLine="0" w:firstLineChars="0"/>
        <w:jc w:val="left"/>
        <w:rPr>
          <w:rFonts w:hint="eastAsia" w:asciiTheme="minorEastAsia" w:hAnsiTheme="minorEastAsia" w:eastAsiaTheme="minorEastAsia" w:cstheme="minorEastAsia"/>
        </w:rPr>
      </w:pPr>
    </w:p>
    <w:p>
      <w:pPr>
        <w:pStyle w:val="2"/>
        <w:ind w:left="440"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rPr>
        <w:br w:type="page"/>
      </w:r>
    </w:p>
    <w:p>
      <w:pPr>
        <w:pStyle w:val="6"/>
        <w:jc w:val="center"/>
        <w:rPr>
          <w:rStyle w:val="62"/>
          <w:rFonts w:hint="eastAsia" w:asciiTheme="minorEastAsia" w:hAnsiTheme="minorEastAsia" w:eastAsiaTheme="minorEastAsia" w:cstheme="minorEastAsia"/>
          <w:bCs/>
          <w:iCs/>
        </w:rPr>
      </w:pPr>
      <w:bookmarkStart w:id="215" w:name="_Toc410229316"/>
      <w:bookmarkStart w:id="216" w:name="_Toc31584_WPSOffice_Level1"/>
      <w:bookmarkStart w:id="217" w:name="_Toc410201593"/>
      <w:bookmarkStart w:id="218" w:name="_Toc410229345"/>
      <w:bookmarkStart w:id="219" w:name="_Toc6610_WPSOffice_Level1"/>
      <w:bookmarkStart w:id="220" w:name="_Toc410200969"/>
      <w:bookmarkStart w:id="221" w:name="_Toc410200921"/>
      <w:bookmarkStart w:id="222" w:name="_Toc12437_WPSOffice_Level1"/>
      <w:bookmarkStart w:id="223" w:name="_Toc26081"/>
      <w:bookmarkStart w:id="224" w:name="_Toc2497_WPSOffice_Level1"/>
      <w:bookmarkStart w:id="225" w:name="_Toc410229357"/>
      <w:bookmarkStart w:id="226" w:name="_Toc9821_WPSOffice_Level1"/>
      <w:bookmarkStart w:id="227" w:name="_Toc410229386"/>
      <w:bookmarkStart w:id="228" w:name="_Toc410229415"/>
      <w:bookmarkStart w:id="229" w:name="_Toc1203_WPSOffice_Level1"/>
      <w:bookmarkStart w:id="230" w:name="_Toc30644_WPSOffice_Level1"/>
      <w:bookmarkStart w:id="231" w:name="_Toc281"/>
      <w:bookmarkStart w:id="232" w:name="_Toc234382986"/>
      <w:bookmarkStart w:id="233" w:name="_Toc480384271"/>
      <w:bookmarkStart w:id="234" w:name="_Toc15384"/>
      <w:bookmarkStart w:id="235" w:name="_Toc21741"/>
      <w:bookmarkStart w:id="236" w:name="_Toc25717"/>
      <w:bookmarkStart w:id="237" w:name="_Toc457482596"/>
      <w:bookmarkStart w:id="238" w:name="_Toc28222"/>
      <w:bookmarkStart w:id="239" w:name="_Toc433964715"/>
      <w:bookmarkStart w:id="240" w:name="_Toc12512"/>
      <w:bookmarkStart w:id="241" w:name="_Toc16709"/>
      <w:bookmarkStart w:id="242" w:name="_Toc447808710"/>
      <w:r>
        <w:rPr>
          <w:rStyle w:val="60"/>
          <w:rFonts w:hint="eastAsia" w:asciiTheme="minorEastAsia" w:hAnsiTheme="minorEastAsia" w:eastAsiaTheme="minorEastAsia" w:cstheme="minorEastAsia"/>
          <w:sz w:val="30"/>
          <w:szCs w:val="30"/>
        </w:rPr>
        <w:t>六、承诺函</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spacing w:line="400" w:lineRule="exact"/>
        <w:ind w:firstLine="440"/>
        <w:contextualSpacing/>
        <w:rPr>
          <w:rFonts w:hint="eastAsia" w:asciiTheme="minorEastAsia" w:hAnsiTheme="minorEastAsia" w:eastAsiaTheme="minorEastAsia" w:cstheme="minorEastAsia"/>
        </w:rPr>
      </w:pPr>
      <w:bookmarkStart w:id="243" w:name="_Toc5590"/>
      <w:r>
        <w:rPr>
          <w:rFonts w:hint="eastAsia" w:asciiTheme="minorEastAsia" w:hAnsiTheme="minorEastAsia" w:eastAsiaTheme="minorEastAsia" w:cstheme="minorEastAsia"/>
        </w:rPr>
        <w:t>致：</w:t>
      </w:r>
      <w:r>
        <w:rPr>
          <w:rFonts w:hint="eastAsia" w:asciiTheme="minorEastAsia" w:hAnsiTheme="minorEastAsia" w:eastAsiaTheme="minorEastAsia" w:cstheme="minorEastAsia"/>
          <w:u w:val="single"/>
        </w:rPr>
        <w:t xml:space="preserve">                （采购人）</w:t>
      </w:r>
    </w:p>
    <w:p>
      <w:pPr>
        <w:widowControl/>
        <w:spacing w:line="400" w:lineRule="exact"/>
        <w:ind w:firstLine="440"/>
        <w:contextualSpacing/>
        <w:rPr>
          <w:rFonts w:hint="eastAsia" w:asciiTheme="minorEastAsia" w:hAnsiTheme="minorEastAsia" w:eastAsiaTheme="minorEastAsia" w:cstheme="minorEastAsia"/>
        </w:rPr>
      </w:pPr>
      <w:r>
        <w:rPr>
          <w:rFonts w:hint="eastAsia" w:asciiTheme="minorEastAsia" w:hAnsiTheme="minorEastAsia" w:eastAsiaTheme="minorEastAsia" w:cstheme="minorEastAsia"/>
        </w:rPr>
        <w:t>我单位参与</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（项目名称）的报价，现在此承诺：至报价截止时间为止，近三年内</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（服务商全称）、法定代表人</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（姓名）及拟委任本项目的项目负责人</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（姓名）不存在任何经检察机关认定的行贿犯罪行为，且我单位在贵单位无放弃成交或放弃履约等不良行为。</w:t>
      </w:r>
    </w:p>
    <w:p>
      <w:pPr>
        <w:widowControl/>
        <w:spacing w:line="400" w:lineRule="exact"/>
        <w:ind w:firstLine="440"/>
        <w:contextualSpacing/>
        <w:rPr>
          <w:rFonts w:hint="eastAsia" w:asciiTheme="minorEastAsia" w:hAnsiTheme="minorEastAsia" w:eastAsiaTheme="minorEastAsia" w:cstheme="minorEastAsia"/>
          <w:u w:val="single"/>
        </w:rPr>
      </w:pPr>
      <w:r>
        <w:rPr>
          <w:rFonts w:hint="eastAsia" w:asciiTheme="minorEastAsia" w:hAnsiTheme="minorEastAsia" w:eastAsiaTheme="minorEastAsia" w:cstheme="minorEastAsia"/>
        </w:rPr>
        <w:t>特此承诺。</w:t>
      </w:r>
    </w:p>
    <w:p>
      <w:pPr>
        <w:widowControl/>
        <w:spacing w:line="400" w:lineRule="exact"/>
        <w:ind w:firstLine="480"/>
        <w:contextualSpacing/>
        <w:rPr>
          <w:rFonts w:hint="eastAsia" w:asciiTheme="minorEastAsia" w:hAnsiTheme="minorEastAsia" w:eastAsiaTheme="minorEastAsia" w:cstheme="minorEastAsia"/>
          <w:sz w:val="24"/>
          <w:u w:val="single"/>
        </w:rPr>
      </w:pPr>
    </w:p>
    <w:p>
      <w:pPr>
        <w:widowControl/>
        <w:spacing w:line="400" w:lineRule="exact"/>
        <w:ind w:firstLine="480"/>
        <w:contextualSpacing/>
        <w:rPr>
          <w:rFonts w:hint="eastAsia" w:asciiTheme="minorEastAsia" w:hAnsiTheme="minorEastAsia" w:eastAsiaTheme="minorEastAsia" w:cstheme="minorEastAsia"/>
          <w:sz w:val="24"/>
          <w:u w:val="single"/>
        </w:rPr>
      </w:pPr>
    </w:p>
    <w:p>
      <w:pPr>
        <w:widowControl/>
        <w:spacing w:line="400" w:lineRule="exact"/>
        <w:ind w:firstLine="480"/>
        <w:contextualSpacing/>
        <w:rPr>
          <w:rFonts w:hint="eastAsia" w:asciiTheme="minorEastAsia" w:hAnsiTheme="minorEastAsia" w:eastAsiaTheme="minorEastAsia" w:cstheme="minorEastAsia"/>
          <w:sz w:val="24"/>
          <w:u w:val="single"/>
        </w:rPr>
      </w:pPr>
    </w:p>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服务商： </w:t>
      </w:r>
      <w:r>
        <w:rPr>
          <w:rFonts w:hint="eastAsia" w:asciiTheme="minorEastAsia" w:hAnsiTheme="minorEastAsia" w:eastAsiaTheme="minorEastAsia" w:cstheme="minorEastAsia"/>
          <w:sz w:val="24"/>
          <w:u w:val="single"/>
        </w:rPr>
        <w:t xml:space="preserve">（加盖公章） </w:t>
      </w:r>
    </w:p>
    <w:p>
      <w:pPr>
        <w:widowControl/>
        <w:spacing w:line="400" w:lineRule="exact"/>
        <w:ind w:firstLine="0" w:firstLineChars="0"/>
        <w:contextualSpacing/>
        <w:jc w:val="right"/>
        <w:rPr>
          <w:rFonts w:hint="eastAsia" w:asciiTheme="minorEastAsia" w:hAnsiTheme="minorEastAsia" w:eastAsiaTheme="minorEastAsia" w:cstheme="minorEastAsia"/>
          <w:sz w:val="24"/>
        </w:rPr>
      </w:pPr>
    </w:p>
    <w:p>
      <w:pPr>
        <w:tabs>
          <w:tab w:val="left" w:pos="3229"/>
        </w:tabs>
        <w:spacing w:line="400" w:lineRule="exact"/>
        <w:ind w:firstLine="48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bookmarkEnd w:id="231"/>
      <w:bookmarkEnd w:id="232"/>
      <w:bookmarkEnd w:id="233"/>
      <w:bookmarkEnd w:id="234"/>
      <w:bookmarkEnd w:id="235"/>
      <w:bookmarkEnd w:id="236"/>
      <w:bookmarkEnd w:id="237"/>
      <w:bookmarkEnd w:id="238"/>
      <w:bookmarkEnd w:id="239"/>
      <w:bookmarkEnd w:id="240"/>
      <w:bookmarkEnd w:id="241"/>
      <w:bookmarkEnd w:id="242"/>
      <w:bookmarkEnd w:id="243"/>
    </w:p>
    <w:sectPr>
      <w:footerReference r:id="rId11" w:type="default"/>
      <w:footnotePr>
        <w:numFmt w:val="decimalEnclosedCircleChinese"/>
        <w:numRestart w:val="eachPage"/>
      </w:footnotePr>
      <w:pgSz w:w="11906" w:h="16838"/>
      <w:pgMar w:top="1417" w:right="1417" w:bottom="1417" w:left="1417"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onospace">
    <w:altName w:val="Rom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w:fldChar w:fldCharType="begin"/>
    </w:r>
    <w:r>
      <w:instrText xml:space="preserve">PAGE   \* MERGEFORMAT</w:instrText>
    </w:r>
    <w:r>
      <w:fldChar w:fldCharType="separate"/>
    </w:r>
    <w:r>
      <w:rPr>
        <w:lang w:val="zh-CN"/>
      </w:rPr>
      <w:t>1</w:t>
    </w:r>
    <w:r>
      <w:fldChar w:fldCharType="end"/>
    </w:r>
  </w:p>
  <w:p>
    <w:pPr>
      <w:pStyle w:val="2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160" w:firstLineChars="100"/>
      <w:jc w:val="both"/>
      <w:rPr>
        <w:rFonts w:hint="default" w:eastAsia="宋体"/>
        <w:sz w:val="16"/>
        <w:szCs w:val="16"/>
        <w:lang w:val="en-US" w:eastAsia="zh-CN"/>
      </w:rPr>
    </w:pPr>
    <w:r>
      <w:rPr>
        <w:rFonts w:hint="eastAsia"/>
        <w:sz w:val="16"/>
        <w:szCs w:val="16"/>
        <w:lang w:val="en-US" w:eastAsia="zh-CN"/>
      </w:rPr>
      <w:t>霍山县兴水生态工程社会稳定风险评估项目</w:t>
    </w:r>
    <w:r>
      <w:rPr>
        <w:rFonts w:hint="eastAsia"/>
        <w:sz w:val="16"/>
        <w:szCs w:val="16"/>
      </w:rPr>
      <w:t>询比文件</w:t>
    </w:r>
    <w:r>
      <w:rPr>
        <w:rFonts w:hint="eastAsia"/>
        <w:sz w:val="16"/>
        <w:szCs w:val="16"/>
        <w:lang w:val="en-US" w:eastAsia="zh-CN"/>
      </w:rPr>
      <w:t xml:space="preserve">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00A600"/>
    <w:multiLevelType w:val="singleLevel"/>
    <w:tmpl w:val="C500A600"/>
    <w:lvl w:ilvl="0" w:tentative="0">
      <w:start w:val="2"/>
      <w:numFmt w:val="decimal"/>
      <w:suff w:val="nothing"/>
      <w:lvlText w:val="%1、"/>
      <w:lvlJc w:val="left"/>
    </w:lvl>
  </w:abstractNum>
  <w:abstractNum w:abstractNumId="1">
    <w:nsid w:val="30420499"/>
    <w:multiLevelType w:val="singleLevel"/>
    <w:tmpl w:val="30420499"/>
    <w:lvl w:ilvl="0" w:tentative="0">
      <w:start w:val="1"/>
      <w:numFmt w:val="chineseCounting"/>
      <w:suff w:val="nothing"/>
      <w:lvlText w:val="%1、"/>
      <w:lvlJc w:val="left"/>
      <w:rPr>
        <w:rFonts w:hint="eastAsia"/>
      </w:rPr>
    </w:lvl>
  </w:abstractNum>
  <w:abstractNum w:abstractNumId="2">
    <w:nsid w:val="732A6535"/>
    <w:multiLevelType w:val="singleLevel"/>
    <w:tmpl w:val="732A653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830838"/>
    <w:rsid w:val="0003691A"/>
    <w:rsid w:val="00061A0E"/>
    <w:rsid w:val="000777A9"/>
    <w:rsid w:val="0010603B"/>
    <w:rsid w:val="00107C54"/>
    <w:rsid w:val="00111F15"/>
    <w:rsid w:val="00147F57"/>
    <w:rsid w:val="00164613"/>
    <w:rsid w:val="001E1F9C"/>
    <w:rsid w:val="002101D3"/>
    <w:rsid w:val="00216538"/>
    <w:rsid w:val="00230F68"/>
    <w:rsid w:val="00265670"/>
    <w:rsid w:val="00277AE8"/>
    <w:rsid w:val="002914DA"/>
    <w:rsid w:val="00293E68"/>
    <w:rsid w:val="002A6554"/>
    <w:rsid w:val="002A738E"/>
    <w:rsid w:val="002D0FC8"/>
    <w:rsid w:val="0032180F"/>
    <w:rsid w:val="003D461B"/>
    <w:rsid w:val="003D61AF"/>
    <w:rsid w:val="0040262E"/>
    <w:rsid w:val="00447D78"/>
    <w:rsid w:val="004550E1"/>
    <w:rsid w:val="00465858"/>
    <w:rsid w:val="004D004F"/>
    <w:rsid w:val="004D6E53"/>
    <w:rsid w:val="004E1838"/>
    <w:rsid w:val="004F3097"/>
    <w:rsid w:val="00517E55"/>
    <w:rsid w:val="00541C4B"/>
    <w:rsid w:val="00554998"/>
    <w:rsid w:val="005572E3"/>
    <w:rsid w:val="00565AC8"/>
    <w:rsid w:val="005B6205"/>
    <w:rsid w:val="00604A41"/>
    <w:rsid w:val="00612086"/>
    <w:rsid w:val="00632A43"/>
    <w:rsid w:val="00671A81"/>
    <w:rsid w:val="006C3954"/>
    <w:rsid w:val="006C64DA"/>
    <w:rsid w:val="00752AA8"/>
    <w:rsid w:val="007609C3"/>
    <w:rsid w:val="007868AF"/>
    <w:rsid w:val="0078724A"/>
    <w:rsid w:val="00793F3F"/>
    <w:rsid w:val="007B1C4D"/>
    <w:rsid w:val="007C2429"/>
    <w:rsid w:val="007D2BD1"/>
    <w:rsid w:val="00830C0D"/>
    <w:rsid w:val="00885720"/>
    <w:rsid w:val="008912D0"/>
    <w:rsid w:val="009406E0"/>
    <w:rsid w:val="00942E27"/>
    <w:rsid w:val="009A250A"/>
    <w:rsid w:val="00A2189C"/>
    <w:rsid w:val="00AA0B90"/>
    <w:rsid w:val="00AB492C"/>
    <w:rsid w:val="00B31C7D"/>
    <w:rsid w:val="00B3445D"/>
    <w:rsid w:val="00B50D33"/>
    <w:rsid w:val="00B70D5E"/>
    <w:rsid w:val="00BE705F"/>
    <w:rsid w:val="00C04CF8"/>
    <w:rsid w:val="00C26882"/>
    <w:rsid w:val="00CB1B80"/>
    <w:rsid w:val="00CB5877"/>
    <w:rsid w:val="00CE5F17"/>
    <w:rsid w:val="00CF4B77"/>
    <w:rsid w:val="00D055BD"/>
    <w:rsid w:val="00D110E1"/>
    <w:rsid w:val="00DD3B37"/>
    <w:rsid w:val="00DF0AD4"/>
    <w:rsid w:val="00E250C6"/>
    <w:rsid w:val="00E27660"/>
    <w:rsid w:val="00E36C2B"/>
    <w:rsid w:val="00E934E7"/>
    <w:rsid w:val="00ED4F26"/>
    <w:rsid w:val="00EE715F"/>
    <w:rsid w:val="00F351C4"/>
    <w:rsid w:val="00F72A98"/>
    <w:rsid w:val="00FD3982"/>
    <w:rsid w:val="00FF30C7"/>
    <w:rsid w:val="01D732B0"/>
    <w:rsid w:val="01FD4FAA"/>
    <w:rsid w:val="02175232"/>
    <w:rsid w:val="022C055E"/>
    <w:rsid w:val="02402A0F"/>
    <w:rsid w:val="025E6327"/>
    <w:rsid w:val="029908F7"/>
    <w:rsid w:val="02E218FC"/>
    <w:rsid w:val="02EE2391"/>
    <w:rsid w:val="041E29C1"/>
    <w:rsid w:val="043B3EA0"/>
    <w:rsid w:val="047B25B8"/>
    <w:rsid w:val="04F03E58"/>
    <w:rsid w:val="04F30A06"/>
    <w:rsid w:val="05583CC1"/>
    <w:rsid w:val="05E47427"/>
    <w:rsid w:val="06150EDE"/>
    <w:rsid w:val="06447963"/>
    <w:rsid w:val="07091AFD"/>
    <w:rsid w:val="078836C9"/>
    <w:rsid w:val="0844134B"/>
    <w:rsid w:val="085823FC"/>
    <w:rsid w:val="096561A5"/>
    <w:rsid w:val="09A8287E"/>
    <w:rsid w:val="09BD4DC7"/>
    <w:rsid w:val="09F8688C"/>
    <w:rsid w:val="0A1D65D6"/>
    <w:rsid w:val="0A342CB6"/>
    <w:rsid w:val="0AA551CD"/>
    <w:rsid w:val="0AAD1194"/>
    <w:rsid w:val="0AAF5936"/>
    <w:rsid w:val="0B71723C"/>
    <w:rsid w:val="0B746C8C"/>
    <w:rsid w:val="0BF42320"/>
    <w:rsid w:val="0BFE36C7"/>
    <w:rsid w:val="0C1E6F81"/>
    <w:rsid w:val="0C277952"/>
    <w:rsid w:val="0C545FB7"/>
    <w:rsid w:val="0CD33E26"/>
    <w:rsid w:val="0D0A7D86"/>
    <w:rsid w:val="0D715D9A"/>
    <w:rsid w:val="0DE3011A"/>
    <w:rsid w:val="0E6E5C29"/>
    <w:rsid w:val="0F9F4644"/>
    <w:rsid w:val="10D033A0"/>
    <w:rsid w:val="113A2455"/>
    <w:rsid w:val="11504FD0"/>
    <w:rsid w:val="118434D9"/>
    <w:rsid w:val="126E1CC2"/>
    <w:rsid w:val="1272505F"/>
    <w:rsid w:val="12B22A42"/>
    <w:rsid w:val="12DF411C"/>
    <w:rsid w:val="135C145B"/>
    <w:rsid w:val="13720A87"/>
    <w:rsid w:val="138E3CC1"/>
    <w:rsid w:val="13DE00C4"/>
    <w:rsid w:val="14226FC1"/>
    <w:rsid w:val="14A673F2"/>
    <w:rsid w:val="151C165B"/>
    <w:rsid w:val="15BF0463"/>
    <w:rsid w:val="15CD07E3"/>
    <w:rsid w:val="16140B27"/>
    <w:rsid w:val="168F7DBF"/>
    <w:rsid w:val="16EE1FB2"/>
    <w:rsid w:val="16F33D05"/>
    <w:rsid w:val="170D4F90"/>
    <w:rsid w:val="173C739B"/>
    <w:rsid w:val="185E44EA"/>
    <w:rsid w:val="19864FE1"/>
    <w:rsid w:val="199553D6"/>
    <w:rsid w:val="19B70FE2"/>
    <w:rsid w:val="1A0E40D0"/>
    <w:rsid w:val="1A1A2F9E"/>
    <w:rsid w:val="1A20419B"/>
    <w:rsid w:val="1A3D2F59"/>
    <w:rsid w:val="1A8412E5"/>
    <w:rsid w:val="1A85622E"/>
    <w:rsid w:val="1B3B525B"/>
    <w:rsid w:val="1CC8146A"/>
    <w:rsid w:val="1CD81487"/>
    <w:rsid w:val="1CE30D81"/>
    <w:rsid w:val="1D2735DE"/>
    <w:rsid w:val="1D3704DA"/>
    <w:rsid w:val="1D5B0B7B"/>
    <w:rsid w:val="1D9F3EEB"/>
    <w:rsid w:val="1DEC3C9F"/>
    <w:rsid w:val="1E0209F9"/>
    <w:rsid w:val="1E7424E0"/>
    <w:rsid w:val="1F2304B1"/>
    <w:rsid w:val="1FB20536"/>
    <w:rsid w:val="204D72F2"/>
    <w:rsid w:val="2073178E"/>
    <w:rsid w:val="2115690B"/>
    <w:rsid w:val="217E1F9B"/>
    <w:rsid w:val="227E26BF"/>
    <w:rsid w:val="22B274E5"/>
    <w:rsid w:val="22D734C8"/>
    <w:rsid w:val="231A75EB"/>
    <w:rsid w:val="23C74D42"/>
    <w:rsid w:val="23E335CF"/>
    <w:rsid w:val="23F244C2"/>
    <w:rsid w:val="244E3833"/>
    <w:rsid w:val="24582AAC"/>
    <w:rsid w:val="2487338A"/>
    <w:rsid w:val="24D305EF"/>
    <w:rsid w:val="258407DC"/>
    <w:rsid w:val="258919A1"/>
    <w:rsid w:val="25B53436"/>
    <w:rsid w:val="260D751E"/>
    <w:rsid w:val="264A58F6"/>
    <w:rsid w:val="265D0588"/>
    <w:rsid w:val="26F01257"/>
    <w:rsid w:val="27435F26"/>
    <w:rsid w:val="284204A4"/>
    <w:rsid w:val="285C2810"/>
    <w:rsid w:val="28823829"/>
    <w:rsid w:val="28A82435"/>
    <w:rsid w:val="28EE07B2"/>
    <w:rsid w:val="294D736C"/>
    <w:rsid w:val="2AE50985"/>
    <w:rsid w:val="2B1457EC"/>
    <w:rsid w:val="2B906A7A"/>
    <w:rsid w:val="2B974572"/>
    <w:rsid w:val="2D9C3E2B"/>
    <w:rsid w:val="2DD8160F"/>
    <w:rsid w:val="2DE52C6D"/>
    <w:rsid w:val="2E3873B9"/>
    <w:rsid w:val="2E4669ED"/>
    <w:rsid w:val="2E8328F9"/>
    <w:rsid w:val="2EA6147A"/>
    <w:rsid w:val="2EC34CFE"/>
    <w:rsid w:val="2EDF0A88"/>
    <w:rsid w:val="2EF040D8"/>
    <w:rsid w:val="2F2F0766"/>
    <w:rsid w:val="2F6F1D22"/>
    <w:rsid w:val="2F9C2BED"/>
    <w:rsid w:val="2FA11694"/>
    <w:rsid w:val="2FE6346D"/>
    <w:rsid w:val="2FE907B8"/>
    <w:rsid w:val="30624A88"/>
    <w:rsid w:val="3064506F"/>
    <w:rsid w:val="308B4ECF"/>
    <w:rsid w:val="3123188F"/>
    <w:rsid w:val="313A7246"/>
    <w:rsid w:val="3194027C"/>
    <w:rsid w:val="319B598C"/>
    <w:rsid w:val="31AB4DBC"/>
    <w:rsid w:val="31C73A34"/>
    <w:rsid w:val="327B1B54"/>
    <w:rsid w:val="32F76D50"/>
    <w:rsid w:val="33AF4A87"/>
    <w:rsid w:val="341A3A93"/>
    <w:rsid w:val="350260FA"/>
    <w:rsid w:val="35412F91"/>
    <w:rsid w:val="356F527F"/>
    <w:rsid w:val="357E705C"/>
    <w:rsid w:val="35A72785"/>
    <w:rsid w:val="35C25EE5"/>
    <w:rsid w:val="35CD52E4"/>
    <w:rsid w:val="36D3515C"/>
    <w:rsid w:val="37722313"/>
    <w:rsid w:val="37EB4797"/>
    <w:rsid w:val="38232CF9"/>
    <w:rsid w:val="383E409B"/>
    <w:rsid w:val="384432C7"/>
    <w:rsid w:val="390C7E4E"/>
    <w:rsid w:val="39D42279"/>
    <w:rsid w:val="39FE02E1"/>
    <w:rsid w:val="3A3C0E60"/>
    <w:rsid w:val="3AA60BD0"/>
    <w:rsid w:val="3AEB1B4E"/>
    <w:rsid w:val="3B0C3D0C"/>
    <w:rsid w:val="3B542390"/>
    <w:rsid w:val="3B6E03A1"/>
    <w:rsid w:val="3B9B6B3C"/>
    <w:rsid w:val="3C0D5B0F"/>
    <w:rsid w:val="3C0F19C7"/>
    <w:rsid w:val="3C2C1396"/>
    <w:rsid w:val="3E4904BD"/>
    <w:rsid w:val="3E7317D0"/>
    <w:rsid w:val="3F5B798D"/>
    <w:rsid w:val="3F5D6A80"/>
    <w:rsid w:val="3FD22B53"/>
    <w:rsid w:val="403250C0"/>
    <w:rsid w:val="41C72DAE"/>
    <w:rsid w:val="41FB2D1D"/>
    <w:rsid w:val="42652A6F"/>
    <w:rsid w:val="427B12D7"/>
    <w:rsid w:val="430B0C22"/>
    <w:rsid w:val="431D4A27"/>
    <w:rsid w:val="43711A91"/>
    <w:rsid w:val="43A70303"/>
    <w:rsid w:val="43B766B1"/>
    <w:rsid w:val="43CD1EC3"/>
    <w:rsid w:val="44294CB0"/>
    <w:rsid w:val="4450579C"/>
    <w:rsid w:val="44614FAD"/>
    <w:rsid w:val="44904F71"/>
    <w:rsid w:val="44B21B37"/>
    <w:rsid w:val="44C7442B"/>
    <w:rsid w:val="45361109"/>
    <w:rsid w:val="45754149"/>
    <w:rsid w:val="45F66BA1"/>
    <w:rsid w:val="45FC1626"/>
    <w:rsid w:val="46F37490"/>
    <w:rsid w:val="477F2102"/>
    <w:rsid w:val="48181EC1"/>
    <w:rsid w:val="48236401"/>
    <w:rsid w:val="485E3B1D"/>
    <w:rsid w:val="48AC1269"/>
    <w:rsid w:val="48DF117C"/>
    <w:rsid w:val="49325BB3"/>
    <w:rsid w:val="4A0322E0"/>
    <w:rsid w:val="4A2D67F0"/>
    <w:rsid w:val="4A68456C"/>
    <w:rsid w:val="4AAA1CFA"/>
    <w:rsid w:val="4B577D52"/>
    <w:rsid w:val="4B7A454F"/>
    <w:rsid w:val="4BC85854"/>
    <w:rsid w:val="4BE43F40"/>
    <w:rsid w:val="4BFD3246"/>
    <w:rsid w:val="4C892B61"/>
    <w:rsid w:val="4C9A7EF8"/>
    <w:rsid w:val="4CCA5F04"/>
    <w:rsid w:val="4CD2727C"/>
    <w:rsid w:val="4D0841A7"/>
    <w:rsid w:val="4D38555F"/>
    <w:rsid w:val="4D3D4F5D"/>
    <w:rsid w:val="4D641980"/>
    <w:rsid w:val="4D6D3E2E"/>
    <w:rsid w:val="4DBD3174"/>
    <w:rsid w:val="4E42532E"/>
    <w:rsid w:val="4E5C2587"/>
    <w:rsid w:val="4ED81B65"/>
    <w:rsid w:val="4F213850"/>
    <w:rsid w:val="4F6A1108"/>
    <w:rsid w:val="4F6B4FFE"/>
    <w:rsid w:val="4F8B1A6F"/>
    <w:rsid w:val="4FC46145"/>
    <w:rsid w:val="502E463E"/>
    <w:rsid w:val="50600121"/>
    <w:rsid w:val="50D61C09"/>
    <w:rsid w:val="50D67B31"/>
    <w:rsid w:val="51211D9E"/>
    <w:rsid w:val="51574269"/>
    <w:rsid w:val="517C0B22"/>
    <w:rsid w:val="51C144CB"/>
    <w:rsid w:val="51F206BD"/>
    <w:rsid w:val="5213546F"/>
    <w:rsid w:val="52284F19"/>
    <w:rsid w:val="52536F52"/>
    <w:rsid w:val="526329C9"/>
    <w:rsid w:val="52EE2E9E"/>
    <w:rsid w:val="53133710"/>
    <w:rsid w:val="5332266A"/>
    <w:rsid w:val="534114DE"/>
    <w:rsid w:val="53927049"/>
    <w:rsid w:val="539D2BE5"/>
    <w:rsid w:val="53B30D58"/>
    <w:rsid w:val="53CB5218"/>
    <w:rsid w:val="53CF6CA3"/>
    <w:rsid w:val="53DD2BEB"/>
    <w:rsid w:val="541F30D7"/>
    <w:rsid w:val="54827A41"/>
    <w:rsid w:val="54AE526F"/>
    <w:rsid w:val="54AE7F6B"/>
    <w:rsid w:val="54D90C40"/>
    <w:rsid w:val="54DA4E3A"/>
    <w:rsid w:val="57C7468F"/>
    <w:rsid w:val="58264BC5"/>
    <w:rsid w:val="58E02030"/>
    <w:rsid w:val="596C2308"/>
    <w:rsid w:val="59A86281"/>
    <w:rsid w:val="59DF5F4D"/>
    <w:rsid w:val="5A3A018E"/>
    <w:rsid w:val="5A830838"/>
    <w:rsid w:val="5ADC22F7"/>
    <w:rsid w:val="5B1F5236"/>
    <w:rsid w:val="5B407E75"/>
    <w:rsid w:val="5B421143"/>
    <w:rsid w:val="5B781260"/>
    <w:rsid w:val="5B901532"/>
    <w:rsid w:val="5BDE4F95"/>
    <w:rsid w:val="5C4E383E"/>
    <w:rsid w:val="5CB96C12"/>
    <w:rsid w:val="5CFC6880"/>
    <w:rsid w:val="5D590730"/>
    <w:rsid w:val="5DCA2116"/>
    <w:rsid w:val="5DFF0B5B"/>
    <w:rsid w:val="5E7F6355"/>
    <w:rsid w:val="5E951262"/>
    <w:rsid w:val="5EB24CC4"/>
    <w:rsid w:val="5ED7354D"/>
    <w:rsid w:val="5F0E028E"/>
    <w:rsid w:val="604B4B9C"/>
    <w:rsid w:val="60884E90"/>
    <w:rsid w:val="609A64E8"/>
    <w:rsid w:val="60C56202"/>
    <w:rsid w:val="60CF2BDE"/>
    <w:rsid w:val="616F3878"/>
    <w:rsid w:val="62143183"/>
    <w:rsid w:val="622F1DFF"/>
    <w:rsid w:val="62AD5F71"/>
    <w:rsid w:val="634541BC"/>
    <w:rsid w:val="6397266C"/>
    <w:rsid w:val="63BA1535"/>
    <w:rsid w:val="63DB4EEA"/>
    <w:rsid w:val="64134BEB"/>
    <w:rsid w:val="645C2445"/>
    <w:rsid w:val="64640A3E"/>
    <w:rsid w:val="650F6F22"/>
    <w:rsid w:val="65191DF9"/>
    <w:rsid w:val="65273CD7"/>
    <w:rsid w:val="65802CA0"/>
    <w:rsid w:val="659C55B1"/>
    <w:rsid w:val="65CB5014"/>
    <w:rsid w:val="664E608B"/>
    <w:rsid w:val="66FA5012"/>
    <w:rsid w:val="67223012"/>
    <w:rsid w:val="676C7548"/>
    <w:rsid w:val="679866C1"/>
    <w:rsid w:val="67F056B5"/>
    <w:rsid w:val="68134D48"/>
    <w:rsid w:val="68141B1E"/>
    <w:rsid w:val="681E7402"/>
    <w:rsid w:val="68330DBB"/>
    <w:rsid w:val="68BE290A"/>
    <w:rsid w:val="6915487D"/>
    <w:rsid w:val="697123B5"/>
    <w:rsid w:val="699023EC"/>
    <w:rsid w:val="69F650E7"/>
    <w:rsid w:val="6A26387E"/>
    <w:rsid w:val="6AA55497"/>
    <w:rsid w:val="6AB61293"/>
    <w:rsid w:val="6ABB4B92"/>
    <w:rsid w:val="6B08266D"/>
    <w:rsid w:val="6B23080D"/>
    <w:rsid w:val="6B52309F"/>
    <w:rsid w:val="6BAA3DC4"/>
    <w:rsid w:val="6BD533B0"/>
    <w:rsid w:val="6C825630"/>
    <w:rsid w:val="6CD70EE9"/>
    <w:rsid w:val="6D4E6AD6"/>
    <w:rsid w:val="6DA317E3"/>
    <w:rsid w:val="6DA43B5D"/>
    <w:rsid w:val="6E223591"/>
    <w:rsid w:val="6E393404"/>
    <w:rsid w:val="705C32E9"/>
    <w:rsid w:val="70957A11"/>
    <w:rsid w:val="70D3124A"/>
    <w:rsid w:val="71244A35"/>
    <w:rsid w:val="72847253"/>
    <w:rsid w:val="735670DF"/>
    <w:rsid w:val="73A659C6"/>
    <w:rsid w:val="73A7170F"/>
    <w:rsid w:val="73B54657"/>
    <w:rsid w:val="73C7592E"/>
    <w:rsid w:val="741259F8"/>
    <w:rsid w:val="74317596"/>
    <w:rsid w:val="749213ED"/>
    <w:rsid w:val="74ED2D51"/>
    <w:rsid w:val="75645672"/>
    <w:rsid w:val="756977DA"/>
    <w:rsid w:val="75AB3CFA"/>
    <w:rsid w:val="779742FB"/>
    <w:rsid w:val="784A294F"/>
    <w:rsid w:val="7853473E"/>
    <w:rsid w:val="789677DD"/>
    <w:rsid w:val="78AF38BA"/>
    <w:rsid w:val="78F65A3B"/>
    <w:rsid w:val="790209BE"/>
    <w:rsid w:val="79720C16"/>
    <w:rsid w:val="79982320"/>
    <w:rsid w:val="79C659A9"/>
    <w:rsid w:val="79ED1CBA"/>
    <w:rsid w:val="79F9470E"/>
    <w:rsid w:val="7A1011DB"/>
    <w:rsid w:val="7AD23BCC"/>
    <w:rsid w:val="7ADE7F0E"/>
    <w:rsid w:val="7B282164"/>
    <w:rsid w:val="7BAA54E6"/>
    <w:rsid w:val="7BD82281"/>
    <w:rsid w:val="7BDC0BC5"/>
    <w:rsid w:val="7C80516B"/>
    <w:rsid w:val="7D1E3BF7"/>
    <w:rsid w:val="7D3C343B"/>
    <w:rsid w:val="7D6C510D"/>
    <w:rsid w:val="7E2023B9"/>
    <w:rsid w:val="7E476BA2"/>
    <w:rsid w:val="7E4E5CBF"/>
    <w:rsid w:val="7E622475"/>
    <w:rsid w:val="7ED27080"/>
    <w:rsid w:val="7F1B7C65"/>
    <w:rsid w:val="7F225C9F"/>
    <w:rsid w:val="7F6C4AB9"/>
    <w:rsid w:val="7F8731E0"/>
    <w:rsid w:val="7FA075C6"/>
    <w:rsid w:val="7FD21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iPriority="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iPriority="0" w:semiHidden="0" w:name="Body Text 3"/>
    <w:lsdException w:uiPriority="0" w:name="Body Text Indent 2"/>
    <w:lsdException w:uiPriority="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iPriority="0" w:name="Strong"/>
    <w:lsdException w:qFormat="1" w:uiPriority="0" w:name="Emphasis"/>
    <w:lsdException w:qFormat="1" w:uiPriority="0" w:semiHidden="0" w:name="Document Map"/>
    <w:lsdException w:qFormat="1" w:uiPriority="0" w:semiHidden="0" w:name="Plain Text"/>
    <w:lsdException w:unhideWhenUsed="0" w:uiPriority="0" w:semiHidden="0" w:name="E-mail Signature"/>
    <w:lsdException w:qFormat="1"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200" w:firstLineChars="200"/>
      <w:jc w:val="both"/>
    </w:pPr>
    <w:rPr>
      <w:rFonts w:ascii="宋体" w:hAnsi="宋体" w:eastAsia="宋体" w:cs="Times New Roman"/>
      <w:sz w:val="22"/>
      <w:lang w:val="en-US" w:eastAsia="zh-CN" w:bidi="ar-SA"/>
    </w:rPr>
  </w:style>
  <w:style w:type="paragraph" w:styleId="5">
    <w:name w:val="heading 1"/>
    <w:basedOn w:val="1"/>
    <w:next w:val="1"/>
    <w:link w:val="61"/>
    <w:qFormat/>
    <w:uiPriority w:val="0"/>
    <w:pPr>
      <w:keepNext/>
      <w:keepLines/>
      <w:spacing w:before="240" w:after="240" w:line="240" w:lineRule="auto"/>
      <w:ind w:firstLine="0" w:firstLineChars="0"/>
      <w:jc w:val="center"/>
      <w:outlineLvl w:val="0"/>
    </w:pPr>
    <w:rPr>
      <w:rFonts w:ascii="黑体" w:hAnsi="黑体" w:eastAsia="黑体" w:cs="黑体"/>
      <w:bCs/>
      <w:kern w:val="44"/>
      <w:sz w:val="44"/>
      <w:szCs w:val="44"/>
    </w:rPr>
  </w:style>
  <w:style w:type="paragraph" w:styleId="6">
    <w:name w:val="heading 2"/>
    <w:basedOn w:val="1"/>
    <w:next w:val="1"/>
    <w:link w:val="62"/>
    <w:qFormat/>
    <w:uiPriority w:val="0"/>
    <w:pPr>
      <w:keepNext/>
      <w:keepLines/>
      <w:spacing w:before="120" w:after="120" w:line="240" w:lineRule="auto"/>
      <w:ind w:firstLine="0" w:firstLineChars="0"/>
      <w:jc w:val="left"/>
      <w:outlineLvl w:val="1"/>
    </w:pPr>
    <w:rPr>
      <w:rFonts w:ascii="黑体" w:hAnsi="黑体" w:eastAsia="黑体" w:cs="黑体"/>
      <w:bCs/>
      <w:iCs/>
      <w:kern w:val="2"/>
      <w:sz w:val="30"/>
      <w:szCs w:val="30"/>
    </w:rPr>
  </w:style>
  <w:style w:type="paragraph" w:styleId="7">
    <w:name w:val="heading 3"/>
    <w:basedOn w:val="1"/>
    <w:next w:val="1"/>
    <w:link w:val="60"/>
    <w:qFormat/>
    <w:uiPriority w:val="0"/>
    <w:pPr>
      <w:keepNext/>
      <w:keepLines/>
      <w:widowControl/>
      <w:tabs>
        <w:tab w:val="left" w:pos="3229"/>
      </w:tabs>
      <w:spacing w:before="120" w:after="120" w:line="240" w:lineRule="auto"/>
      <w:ind w:firstLine="0" w:firstLineChars="0"/>
      <w:jc w:val="left"/>
      <w:outlineLvl w:val="2"/>
    </w:pPr>
    <w:rPr>
      <w:rFonts w:ascii="Times New Roman" w:hAnsi="Times New Roman" w:eastAsia="黑体"/>
      <w:kern w:val="2"/>
      <w:sz w:val="24"/>
      <w:szCs w:val="24"/>
    </w:rPr>
  </w:style>
  <w:style w:type="paragraph" w:styleId="8">
    <w:name w:val="heading 4"/>
    <w:basedOn w:val="1"/>
    <w:next w:val="1"/>
    <w:link w:val="63"/>
    <w:qFormat/>
    <w:uiPriority w:val="0"/>
    <w:pPr>
      <w:keepNext/>
      <w:adjustRightInd w:val="0"/>
      <w:ind w:firstLine="0" w:firstLineChars="0"/>
      <w:jc w:val="left"/>
      <w:textAlignment w:val="baseline"/>
      <w:outlineLvl w:val="3"/>
    </w:pPr>
    <w:rPr>
      <w:rFonts w:ascii="黑体" w:hAnsi="黑体" w:eastAsia="黑体" w:cs="黑体"/>
      <w:szCs w:val="22"/>
    </w:rPr>
  </w:style>
  <w:style w:type="character" w:default="1" w:styleId="38">
    <w:name w:val="Default Paragraph Font"/>
    <w:unhideWhenUsed/>
    <w:qFormat/>
    <w:uiPriority w:val="1"/>
  </w:style>
  <w:style w:type="table" w:default="1" w:styleId="36">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9">
    <w:name w:val="toc 7"/>
    <w:basedOn w:val="1"/>
    <w:next w:val="1"/>
    <w:qFormat/>
    <w:uiPriority w:val="0"/>
    <w:pPr>
      <w:ind w:left="1320"/>
      <w:jc w:val="left"/>
    </w:pPr>
    <w:rPr>
      <w:rFonts w:ascii="Calibri" w:hAnsi="Calibri" w:cs="Calibri"/>
      <w:sz w:val="18"/>
      <w:szCs w:val="18"/>
    </w:rPr>
  </w:style>
  <w:style w:type="paragraph" w:styleId="10">
    <w:name w:val="Normal Indent"/>
    <w:basedOn w:val="1"/>
    <w:qFormat/>
    <w:uiPriority w:val="0"/>
    <w:pPr>
      <w:ind w:firstLine="420"/>
    </w:pPr>
  </w:style>
  <w:style w:type="paragraph" w:styleId="11">
    <w:name w:val="Document Map"/>
    <w:basedOn w:val="1"/>
    <w:unhideWhenUsed/>
    <w:qFormat/>
    <w:uiPriority w:val="0"/>
    <w:rPr>
      <w:rFonts w:hAnsi="Times New Roman"/>
      <w:kern w:val="2"/>
      <w:sz w:val="18"/>
      <w:szCs w:val="18"/>
    </w:rPr>
  </w:style>
  <w:style w:type="paragraph" w:styleId="12">
    <w:name w:val="toa heading"/>
    <w:basedOn w:val="1"/>
    <w:next w:val="1"/>
    <w:qFormat/>
    <w:uiPriority w:val="0"/>
    <w:rPr>
      <w:rFonts w:ascii="Arial" w:hAnsi="Arial"/>
      <w:sz w:val="24"/>
    </w:rPr>
  </w:style>
  <w:style w:type="paragraph" w:styleId="13">
    <w:name w:val="annotation text"/>
    <w:basedOn w:val="1"/>
    <w:unhideWhenUsed/>
    <w:qFormat/>
    <w:uiPriority w:val="0"/>
    <w:pPr>
      <w:jc w:val="left"/>
    </w:pPr>
    <w:rPr>
      <w:rFonts w:ascii="Times New Roman" w:hAnsi="Times New Roman"/>
      <w:kern w:val="2"/>
      <w:szCs w:val="24"/>
    </w:rPr>
  </w:style>
  <w:style w:type="paragraph" w:styleId="14">
    <w:name w:val="Body Text 3"/>
    <w:basedOn w:val="1"/>
    <w:unhideWhenUsed/>
    <w:qFormat/>
    <w:uiPriority w:val="0"/>
    <w:rPr>
      <w:rFonts w:hAnsi="Times New Roman"/>
      <w:kern w:val="2"/>
      <w:sz w:val="24"/>
    </w:rPr>
  </w:style>
  <w:style w:type="paragraph" w:styleId="15">
    <w:name w:val="Body Text"/>
    <w:basedOn w:val="1"/>
    <w:next w:val="16"/>
    <w:qFormat/>
    <w:uiPriority w:val="0"/>
    <w:pPr>
      <w:spacing w:after="120"/>
    </w:pPr>
    <w:rPr>
      <w:rFonts w:ascii="Times New Roman" w:hAnsi="Times New Roman"/>
      <w:kern w:val="2"/>
      <w:szCs w:val="24"/>
    </w:rPr>
  </w:style>
  <w:style w:type="paragraph" w:customStyle="1" w:styleId="16">
    <w:name w:val="style4"/>
    <w:basedOn w:val="1"/>
    <w:next w:val="17"/>
    <w:qFormat/>
    <w:uiPriority w:val="0"/>
    <w:pPr>
      <w:widowControl/>
      <w:spacing w:before="280" w:after="280"/>
    </w:pPr>
    <w:rPr>
      <w:rFonts w:ascii="宋体" w:eastAsia="宋体"/>
      <w:sz w:val="18"/>
    </w:rPr>
  </w:style>
  <w:style w:type="paragraph" w:customStyle="1" w:styleId="17">
    <w:name w:val="2"/>
    <w:next w:val="1"/>
    <w:qFormat/>
    <w:uiPriority w:val="0"/>
    <w:pPr>
      <w:widowControl w:val="0"/>
      <w:jc w:val="both"/>
    </w:pPr>
    <w:rPr>
      <w:rFonts w:ascii="Calibri" w:hAnsi="Calibri" w:eastAsia="宋体" w:cs="Times New Roman"/>
      <w:sz w:val="21"/>
      <w:szCs w:val="22"/>
      <w:lang w:val="en-US" w:eastAsia="zh-CN" w:bidi="ar-SA"/>
    </w:rPr>
  </w:style>
  <w:style w:type="paragraph" w:styleId="18">
    <w:name w:val="toc 5"/>
    <w:basedOn w:val="1"/>
    <w:next w:val="1"/>
    <w:qFormat/>
    <w:uiPriority w:val="0"/>
    <w:pPr>
      <w:ind w:left="880"/>
      <w:jc w:val="left"/>
    </w:pPr>
    <w:rPr>
      <w:rFonts w:ascii="Calibri" w:hAnsi="Calibri" w:cs="Calibri"/>
      <w:sz w:val="18"/>
      <w:szCs w:val="18"/>
    </w:rPr>
  </w:style>
  <w:style w:type="paragraph" w:styleId="19">
    <w:name w:val="toc 3"/>
    <w:basedOn w:val="1"/>
    <w:next w:val="1"/>
    <w:qFormat/>
    <w:uiPriority w:val="0"/>
    <w:pPr>
      <w:ind w:left="440"/>
      <w:jc w:val="left"/>
    </w:pPr>
    <w:rPr>
      <w:rFonts w:ascii="Calibri" w:hAnsi="Calibri" w:cs="Calibri"/>
      <w:i/>
      <w:iCs/>
      <w:sz w:val="20"/>
    </w:rPr>
  </w:style>
  <w:style w:type="paragraph" w:styleId="20">
    <w:name w:val="Plain Text"/>
    <w:basedOn w:val="1"/>
    <w:unhideWhenUsed/>
    <w:qFormat/>
    <w:uiPriority w:val="0"/>
    <w:rPr>
      <w:rFonts w:hAnsi="Courier New"/>
    </w:rPr>
  </w:style>
  <w:style w:type="paragraph" w:styleId="21">
    <w:name w:val="toc 8"/>
    <w:basedOn w:val="1"/>
    <w:next w:val="1"/>
    <w:qFormat/>
    <w:uiPriority w:val="0"/>
    <w:pPr>
      <w:ind w:left="1540"/>
      <w:jc w:val="left"/>
    </w:pPr>
    <w:rPr>
      <w:rFonts w:ascii="Calibri" w:hAnsi="Calibri" w:cs="Calibri"/>
      <w:sz w:val="18"/>
      <w:szCs w:val="18"/>
    </w:rPr>
  </w:style>
  <w:style w:type="paragraph" w:styleId="22">
    <w:name w:val="Date"/>
    <w:basedOn w:val="1"/>
    <w:next w:val="1"/>
    <w:link w:val="64"/>
    <w:qFormat/>
    <w:uiPriority w:val="0"/>
    <w:pPr>
      <w:ind w:left="100" w:leftChars="2500"/>
    </w:pPr>
  </w:style>
  <w:style w:type="paragraph" w:styleId="23">
    <w:name w:val="Balloon Text"/>
    <w:basedOn w:val="1"/>
    <w:link w:val="67"/>
    <w:qFormat/>
    <w:uiPriority w:val="0"/>
    <w:pPr>
      <w:spacing w:line="240" w:lineRule="auto"/>
    </w:pPr>
    <w:rPr>
      <w:sz w:val="18"/>
      <w:szCs w:val="18"/>
    </w:rPr>
  </w:style>
  <w:style w:type="paragraph" w:styleId="24">
    <w:name w:val="footer"/>
    <w:basedOn w:val="1"/>
    <w:link w:val="68"/>
    <w:unhideWhenUsed/>
    <w:qFormat/>
    <w:uiPriority w:val="99"/>
    <w:pPr>
      <w:tabs>
        <w:tab w:val="center" w:pos="4153"/>
        <w:tab w:val="right" w:pos="8306"/>
      </w:tabs>
      <w:snapToGrid w:val="0"/>
      <w:jc w:val="left"/>
    </w:pPr>
    <w:rPr>
      <w:rFonts w:ascii="Times New Roman" w:hAnsi="Times New Roman"/>
      <w:kern w:val="2"/>
      <w:sz w:val="18"/>
      <w:szCs w:val="18"/>
    </w:rPr>
  </w:style>
  <w:style w:type="paragraph" w:styleId="25">
    <w:name w:val="header"/>
    <w:basedOn w:val="1"/>
    <w:link w:val="66"/>
    <w:qFormat/>
    <w:uiPriority w:val="99"/>
    <w:pPr>
      <w:pBdr>
        <w:bottom w:val="single" w:color="auto"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26">
    <w:name w:val="toc 1"/>
    <w:basedOn w:val="1"/>
    <w:next w:val="1"/>
    <w:qFormat/>
    <w:uiPriority w:val="39"/>
    <w:pPr>
      <w:spacing w:before="120" w:after="120" w:line="360" w:lineRule="auto"/>
      <w:ind w:left="200" w:hanging="200" w:hangingChars="200"/>
      <w:jc w:val="left"/>
    </w:pPr>
    <w:rPr>
      <w:rFonts w:cs="宋体"/>
      <w:bCs/>
      <w:caps/>
      <w:sz w:val="20"/>
    </w:rPr>
  </w:style>
  <w:style w:type="paragraph" w:styleId="27">
    <w:name w:val="toc 4"/>
    <w:basedOn w:val="1"/>
    <w:next w:val="1"/>
    <w:qFormat/>
    <w:uiPriority w:val="0"/>
    <w:pPr>
      <w:ind w:left="660"/>
      <w:jc w:val="left"/>
    </w:pPr>
    <w:rPr>
      <w:rFonts w:ascii="Calibri" w:hAnsi="Calibri" w:cs="Calibri"/>
      <w:sz w:val="18"/>
      <w:szCs w:val="18"/>
    </w:rPr>
  </w:style>
  <w:style w:type="paragraph" w:styleId="28">
    <w:name w:val="footnote text"/>
    <w:basedOn w:val="1"/>
    <w:qFormat/>
    <w:uiPriority w:val="0"/>
    <w:pPr>
      <w:pBdr>
        <w:top w:val="none" w:color="auto" w:sz="0" w:space="1"/>
        <w:left w:val="none" w:color="auto" w:sz="0" w:space="4"/>
        <w:bottom w:val="none" w:color="auto" w:sz="0" w:space="1"/>
        <w:right w:val="none" w:color="auto" w:sz="0" w:space="4"/>
      </w:pBdr>
      <w:snapToGrid w:val="0"/>
      <w:jc w:val="left"/>
    </w:pPr>
    <w:rPr>
      <w:rFonts w:ascii="Times New Roman" w:hAnsi="Times New Roman"/>
      <w:kern w:val="2"/>
      <w:sz w:val="18"/>
      <w:szCs w:val="18"/>
    </w:rPr>
  </w:style>
  <w:style w:type="paragraph" w:styleId="29">
    <w:name w:val="toc 6"/>
    <w:basedOn w:val="1"/>
    <w:next w:val="1"/>
    <w:qFormat/>
    <w:uiPriority w:val="0"/>
    <w:pPr>
      <w:ind w:left="1100"/>
      <w:jc w:val="left"/>
    </w:pPr>
    <w:rPr>
      <w:rFonts w:ascii="Calibri" w:hAnsi="Calibri" w:cs="Calibri"/>
      <w:sz w:val="18"/>
      <w:szCs w:val="18"/>
    </w:rPr>
  </w:style>
  <w:style w:type="paragraph" w:styleId="30">
    <w:name w:val="toc 2"/>
    <w:basedOn w:val="1"/>
    <w:next w:val="1"/>
    <w:qFormat/>
    <w:uiPriority w:val="39"/>
    <w:pPr>
      <w:ind w:left="220"/>
      <w:jc w:val="left"/>
    </w:pPr>
    <w:rPr>
      <w:rFonts w:ascii="Calibri" w:hAnsi="Calibri" w:cs="Calibri"/>
      <w:smallCaps/>
      <w:sz w:val="20"/>
    </w:rPr>
  </w:style>
  <w:style w:type="paragraph" w:styleId="31">
    <w:name w:val="toc 9"/>
    <w:basedOn w:val="1"/>
    <w:next w:val="1"/>
    <w:qFormat/>
    <w:uiPriority w:val="0"/>
    <w:pPr>
      <w:ind w:left="1760"/>
      <w:jc w:val="left"/>
    </w:pPr>
    <w:rPr>
      <w:rFonts w:ascii="Calibri" w:hAnsi="Calibri" w:cs="Calibri"/>
      <w:sz w:val="18"/>
      <w:szCs w:val="18"/>
    </w:rPr>
  </w:style>
  <w:style w:type="paragraph" w:styleId="3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33">
    <w:name w:val="Normal (Web)"/>
    <w:basedOn w:val="1"/>
    <w:unhideWhenUsed/>
    <w:qFormat/>
    <w:uiPriority w:val="0"/>
    <w:pPr>
      <w:jc w:val="left"/>
    </w:pPr>
    <w:rPr>
      <w:sz w:val="24"/>
    </w:rPr>
  </w:style>
  <w:style w:type="paragraph" w:styleId="34">
    <w:name w:val="Title"/>
    <w:basedOn w:val="1"/>
    <w:next w:val="1"/>
    <w:link w:val="65"/>
    <w:qFormat/>
    <w:uiPriority w:val="0"/>
    <w:pPr>
      <w:spacing w:before="240" w:after="60"/>
      <w:jc w:val="center"/>
      <w:outlineLvl w:val="0"/>
    </w:pPr>
    <w:rPr>
      <w:rFonts w:ascii="Cambria" w:hAnsi="Cambria"/>
      <w:b/>
      <w:bCs/>
      <w:sz w:val="32"/>
      <w:szCs w:val="32"/>
    </w:rPr>
  </w:style>
  <w:style w:type="paragraph" w:styleId="35">
    <w:name w:val="Body Text First Indent"/>
    <w:basedOn w:val="15"/>
    <w:next w:val="1"/>
    <w:qFormat/>
    <w:uiPriority w:val="0"/>
    <w:pPr>
      <w:spacing w:after="120" w:afterLines="0"/>
      <w:ind w:firstLine="420" w:firstLineChars="100"/>
    </w:pPr>
    <w:rPr>
      <w:rFonts w:ascii="Times New Roman" w:hAnsi="Times New Roman"/>
      <w:kern w:val="0"/>
      <w:sz w:val="32"/>
      <w:szCs w:val="24"/>
    </w:rPr>
  </w:style>
  <w:style w:type="table" w:styleId="37">
    <w:name w:val="Table Grid"/>
    <w:basedOn w:val="36"/>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basedOn w:val="38"/>
    <w:semiHidden/>
    <w:unhideWhenUsed/>
    <w:qFormat/>
    <w:uiPriority w:val="0"/>
  </w:style>
  <w:style w:type="character" w:styleId="40">
    <w:name w:val="page number"/>
    <w:basedOn w:val="38"/>
    <w:qFormat/>
    <w:uiPriority w:val="0"/>
    <w:rPr>
      <w:rFonts w:ascii="Times New Roman" w:hAnsi="Times New Roman" w:eastAsia="宋体" w:cs="Times New Roman"/>
      <w:kern w:val="2"/>
      <w:sz w:val="21"/>
      <w:szCs w:val="24"/>
      <w:lang w:eastAsia="zh-CN"/>
    </w:rPr>
  </w:style>
  <w:style w:type="character" w:styleId="41">
    <w:name w:val="FollowedHyperlink"/>
    <w:basedOn w:val="38"/>
    <w:qFormat/>
    <w:uiPriority w:val="0"/>
    <w:rPr>
      <w:color w:val="4C4C4C"/>
      <w:u w:val="none"/>
    </w:rPr>
  </w:style>
  <w:style w:type="character" w:styleId="42">
    <w:name w:val="Emphasis"/>
    <w:basedOn w:val="38"/>
    <w:semiHidden/>
    <w:unhideWhenUsed/>
    <w:qFormat/>
    <w:uiPriority w:val="0"/>
  </w:style>
  <w:style w:type="character" w:styleId="43">
    <w:name w:val="HTML Definition"/>
    <w:basedOn w:val="38"/>
    <w:qFormat/>
    <w:uiPriority w:val="0"/>
  </w:style>
  <w:style w:type="character" w:styleId="44">
    <w:name w:val="HTML Typewriter"/>
    <w:basedOn w:val="38"/>
    <w:qFormat/>
    <w:uiPriority w:val="0"/>
    <w:rPr>
      <w:rFonts w:hint="default" w:ascii="monospace" w:hAnsi="monospace" w:eastAsia="monospace" w:cs="monospace"/>
      <w:sz w:val="20"/>
    </w:rPr>
  </w:style>
  <w:style w:type="character" w:styleId="45">
    <w:name w:val="HTML Acronym"/>
    <w:basedOn w:val="38"/>
    <w:qFormat/>
    <w:uiPriority w:val="0"/>
  </w:style>
  <w:style w:type="character" w:styleId="46">
    <w:name w:val="HTML Variable"/>
    <w:basedOn w:val="38"/>
    <w:qFormat/>
    <w:uiPriority w:val="0"/>
  </w:style>
  <w:style w:type="character" w:styleId="47">
    <w:name w:val="Hyperlink"/>
    <w:unhideWhenUsed/>
    <w:qFormat/>
    <w:uiPriority w:val="99"/>
    <w:rPr>
      <w:rFonts w:hint="eastAsia" w:ascii="宋体" w:hAnsi="宋体" w:eastAsia="宋体" w:cs="宋体"/>
      <w:color w:val="333333"/>
      <w:kern w:val="2"/>
      <w:sz w:val="18"/>
      <w:szCs w:val="18"/>
      <w:u w:val="none"/>
      <w:lang w:eastAsia="zh-CN"/>
    </w:rPr>
  </w:style>
  <w:style w:type="character" w:styleId="48">
    <w:name w:val="HTML Code"/>
    <w:basedOn w:val="38"/>
    <w:qFormat/>
    <w:uiPriority w:val="0"/>
    <w:rPr>
      <w:rFonts w:hint="default" w:ascii="monospace" w:hAnsi="monospace" w:eastAsia="monospace" w:cs="monospace"/>
      <w:sz w:val="20"/>
    </w:rPr>
  </w:style>
  <w:style w:type="character" w:styleId="49">
    <w:name w:val="HTML Cite"/>
    <w:basedOn w:val="38"/>
    <w:qFormat/>
    <w:uiPriority w:val="0"/>
  </w:style>
  <w:style w:type="character" w:styleId="50">
    <w:name w:val="footnote reference"/>
    <w:unhideWhenUsed/>
    <w:qFormat/>
    <w:uiPriority w:val="0"/>
    <w:rPr>
      <w:rFonts w:ascii="Times New Roman" w:hAnsi="Times New Roman" w:eastAsia="宋体" w:cs="Times New Roman"/>
      <w:kern w:val="2"/>
      <w:sz w:val="21"/>
      <w:szCs w:val="24"/>
      <w:vertAlign w:val="superscript"/>
      <w:lang w:eastAsia="zh-CN"/>
    </w:rPr>
  </w:style>
  <w:style w:type="character" w:styleId="51">
    <w:name w:val="HTML Keyboard"/>
    <w:basedOn w:val="38"/>
    <w:qFormat/>
    <w:uiPriority w:val="0"/>
    <w:rPr>
      <w:rFonts w:ascii="monospace" w:hAnsi="monospace" w:eastAsia="monospace" w:cs="monospace"/>
      <w:sz w:val="20"/>
    </w:rPr>
  </w:style>
  <w:style w:type="character" w:styleId="52">
    <w:name w:val="HTML Sample"/>
    <w:basedOn w:val="38"/>
    <w:qFormat/>
    <w:uiPriority w:val="0"/>
    <w:rPr>
      <w:rFonts w:hint="default" w:ascii="monospace" w:hAnsi="monospace" w:eastAsia="monospace" w:cs="monospace"/>
    </w:rPr>
  </w:style>
  <w:style w:type="paragraph" w:customStyle="1" w:styleId="53">
    <w:name w:val="样式 标题 3 + (中文) 黑体 小四 非加粗 段前: 7.8 磅 段后: 0 磅 行距: 固定值 20 磅"/>
    <w:basedOn w:val="7"/>
    <w:qFormat/>
    <w:uiPriority w:val="0"/>
    <w:pPr>
      <w:widowControl w:val="0"/>
      <w:spacing w:before="0" w:after="0" w:line="400" w:lineRule="exact"/>
      <w:jc w:val="both"/>
    </w:pPr>
    <w:rPr>
      <w:rFonts w:cs="宋体"/>
    </w:rPr>
  </w:style>
  <w:style w:type="paragraph" w:customStyle="1" w:styleId="54">
    <w:name w:val="默认段落字体 Para Char Char Char Char Char Char Char Char Char Char Char Char Char Char Char1 Char"/>
    <w:basedOn w:val="11"/>
    <w:qFormat/>
    <w:uiPriority w:val="0"/>
    <w:rPr>
      <w:rFonts w:ascii="Times New Roman"/>
      <w:sz w:val="21"/>
      <w:szCs w:val="24"/>
    </w:rPr>
  </w:style>
  <w:style w:type="paragraph" w:customStyle="1" w:styleId="55">
    <w:name w:val="表格"/>
    <w:basedOn w:val="1"/>
    <w:qFormat/>
    <w:uiPriority w:val="0"/>
    <w:pPr>
      <w:ind w:firstLine="0" w:firstLineChars="0"/>
      <w:textAlignment w:val="center"/>
    </w:pPr>
    <w:rPr>
      <w:rFonts w:cs="宋体"/>
      <w:szCs w:val="22"/>
    </w:rPr>
  </w:style>
  <w:style w:type="paragraph" w:customStyle="1" w:styleId="56">
    <w:name w:val="Table Paragraph"/>
    <w:basedOn w:val="1"/>
    <w:unhideWhenUsed/>
    <w:qFormat/>
    <w:uiPriority w:val="1"/>
    <w:rPr>
      <w:rFonts w:cs="宋体"/>
    </w:rPr>
  </w:style>
  <w:style w:type="paragraph" w:customStyle="1" w:styleId="57">
    <w:name w:val="列出段落1"/>
    <w:basedOn w:val="1"/>
    <w:unhideWhenUsed/>
    <w:qFormat/>
    <w:uiPriority w:val="0"/>
    <w:pPr>
      <w:ind w:firstLine="420"/>
    </w:pPr>
  </w:style>
  <w:style w:type="paragraph" w:customStyle="1" w:styleId="58">
    <w:name w:val="1"/>
    <w:basedOn w:val="1"/>
    <w:next w:val="1"/>
    <w:qFormat/>
    <w:uiPriority w:val="0"/>
  </w:style>
  <w:style w:type="paragraph" w:customStyle="1" w:styleId="59">
    <w:name w:val="WPSOffice手动目录 1"/>
    <w:qFormat/>
    <w:uiPriority w:val="0"/>
    <w:rPr>
      <w:rFonts w:ascii="Times New Roman" w:hAnsi="Times New Roman" w:eastAsia="宋体" w:cs="Times New Roman"/>
      <w:lang w:val="en-US" w:eastAsia="zh-CN" w:bidi="ar-SA"/>
    </w:rPr>
  </w:style>
  <w:style w:type="character" w:customStyle="1" w:styleId="60">
    <w:name w:val="标题 3 Char"/>
    <w:link w:val="7"/>
    <w:qFormat/>
    <w:uiPriority w:val="0"/>
    <w:rPr>
      <w:rFonts w:eastAsia="黑体"/>
      <w:kern w:val="2"/>
      <w:sz w:val="24"/>
      <w:szCs w:val="24"/>
    </w:rPr>
  </w:style>
  <w:style w:type="character" w:customStyle="1" w:styleId="61">
    <w:name w:val="标题 1 Char"/>
    <w:link w:val="5"/>
    <w:qFormat/>
    <w:uiPriority w:val="0"/>
    <w:rPr>
      <w:rFonts w:ascii="黑体" w:hAnsi="黑体" w:eastAsia="黑体" w:cs="黑体"/>
      <w:bCs/>
      <w:kern w:val="44"/>
      <w:sz w:val="44"/>
      <w:szCs w:val="44"/>
    </w:rPr>
  </w:style>
  <w:style w:type="character" w:customStyle="1" w:styleId="62">
    <w:name w:val="标题 2 Char"/>
    <w:link w:val="6"/>
    <w:qFormat/>
    <w:uiPriority w:val="0"/>
    <w:rPr>
      <w:rFonts w:ascii="黑体" w:hAnsi="黑体" w:eastAsia="黑体" w:cs="黑体"/>
      <w:bCs/>
      <w:iCs/>
      <w:kern w:val="2"/>
      <w:sz w:val="30"/>
      <w:szCs w:val="30"/>
    </w:rPr>
  </w:style>
  <w:style w:type="character" w:customStyle="1" w:styleId="63">
    <w:name w:val="标题 4 Char"/>
    <w:link w:val="8"/>
    <w:qFormat/>
    <w:uiPriority w:val="0"/>
    <w:rPr>
      <w:rFonts w:ascii="黑体" w:hAnsi="黑体" w:eastAsia="黑体" w:cs="黑体"/>
      <w:sz w:val="22"/>
      <w:szCs w:val="22"/>
    </w:rPr>
  </w:style>
  <w:style w:type="character" w:customStyle="1" w:styleId="64">
    <w:name w:val="日期 Char"/>
    <w:link w:val="22"/>
    <w:qFormat/>
    <w:uiPriority w:val="0"/>
    <w:rPr>
      <w:rFonts w:ascii="宋体" w:hAnsi="宋体" w:eastAsia="宋体" w:cs="Times New Roman"/>
      <w:kern w:val="2"/>
      <w:sz w:val="21"/>
      <w:szCs w:val="24"/>
      <w:lang w:eastAsia="zh-CN"/>
    </w:rPr>
  </w:style>
  <w:style w:type="character" w:customStyle="1" w:styleId="65">
    <w:name w:val="标题 Char"/>
    <w:link w:val="34"/>
    <w:qFormat/>
    <w:uiPriority w:val="0"/>
    <w:rPr>
      <w:rFonts w:ascii="Cambria" w:hAnsi="Cambria" w:eastAsia="宋体" w:cs="Times New Roman"/>
      <w:b/>
      <w:bCs/>
      <w:kern w:val="2"/>
      <w:sz w:val="32"/>
      <w:szCs w:val="32"/>
      <w:lang w:eastAsia="zh-CN"/>
    </w:rPr>
  </w:style>
  <w:style w:type="character" w:customStyle="1" w:styleId="66">
    <w:name w:val="页眉 Char"/>
    <w:link w:val="25"/>
    <w:qFormat/>
    <w:uiPriority w:val="99"/>
    <w:rPr>
      <w:kern w:val="2"/>
      <w:sz w:val="18"/>
      <w:szCs w:val="18"/>
    </w:rPr>
  </w:style>
  <w:style w:type="character" w:customStyle="1" w:styleId="67">
    <w:name w:val="批注框文本 Char"/>
    <w:link w:val="23"/>
    <w:qFormat/>
    <w:uiPriority w:val="0"/>
    <w:rPr>
      <w:rFonts w:ascii="宋体" w:hAnsi="宋体" w:eastAsia="宋体" w:cs="Times New Roman"/>
      <w:kern w:val="2"/>
      <w:sz w:val="18"/>
      <w:szCs w:val="18"/>
      <w:lang w:eastAsia="zh-CN"/>
    </w:rPr>
  </w:style>
  <w:style w:type="character" w:customStyle="1" w:styleId="68">
    <w:name w:val="页脚 Char"/>
    <w:link w:val="24"/>
    <w:qFormat/>
    <w:uiPriority w:val="99"/>
    <w:rPr>
      <w:kern w:val="2"/>
      <w:sz w:val="18"/>
      <w:szCs w:val="18"/>
    </w:rPr>
  </w:style>
  <w:style w:type="paragraph" w:customStyle="1" w:styleId="69">
    <w:name w:val="p0"/>
    <w:basedOn w:val="1"/>
    <w:qFormat/>
    <w:uiPriority w:val="0"/>
    <w:pPr>
      <w:widowControl/>
    </w:pPr>
    <w:rPr>
      <w:rFonts w:ascii="Calibri" w:hAnsi="Calibri"/>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1430</Words>
  <Characters>8156</Characters>
  <Lines>67</Lines>
  <Paragraphs>19</Paragraphs>
  <TotalTime>4</TotalTime>
  <ScaleCrop>false</ScaleCrop>
  <LinksUpToDate>false</LinksUpToDate>
  <CharactersWithSpaces>9567</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2019-09-03T14:19:00Z</dcterms:created>
  <cp:lastPrinted>2020-06-16T06:51:00Z</cp:lastPrinted>
  <dcterms:modified xsi:type="dcterms:W3CDTF">2020-07-14T09:18:46Z</dcterms:modified>
  <dc:title>安徽省交通控股集团有限公司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